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750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5"/>
        <w:gridCol w:w="5674"/>
      </w:tblGrid>
      <w:tr>
        <w:trPr/>
        <w:tc>
          <w:tcPr>
            <w:tcW w:w="4075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6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325-01/25-01/</w:t>
      </w:r>
      <w:r>
        <w:rPr>
          <w:sz w:val="22"/>
          <w:szCs w:val="22"/>
        </w:rPr>
        <w:t>13</w:t>
      </w:r>
    </w:p>
    <w:p>
      <w:pPr>
        <w:pStyle w:val="Normal"/>
        <w:rPr/>
      </w:pPr>
      <w:r>
        <w:rPr>
          <w:sz w:val="22"/>
          <w:szCs w:val="22"/>
        </w:rPr>
        <w:t>URBROJ: 2140-23-1-25-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19</w:t>
      </w:r>
      <w:r>
        <w:rPr>
          <w:sz w:val="22"/>
          <w:szCs w:val="22"/>
        </w:rPr>
        <w:t>. rujna 2025.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19</w:t>
      </w:r>
      <w:r>
        <w:rPr>
          <w:sz w:val="22"/>
          <w:szCs w:val="22"/>
        </w:rPr>
        <w:t>. rujna 2025.,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POLUGODIŠNJE IZVJEŠĆE O IZVRŠENJU PROGRAMA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UTROŠKA SREDSTAVA VODNOG DOPRINOSA U 2025. GODINI</w:t>
      </w:r>
      <w:r>
        <w:rPr>
          <w:b/>
          <w:bCs/>
          <w:sz w:val="22"/>
          <w:szCs w:val="22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za razdoblje od 01.01.-30.06.2025. godinu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</w:t>
      </w:r>
    </w:p>
    <w:p>
      <w:pPr>
        <w:pStyle w:val="Normal"/>
        <w:ind w:firstLine="567"/>
        <w:jc w:val="both"/>
        <w:rPr/>
      </w:pPr>
      <w:r>
        <w:rPr>
          <w:color w:val="auto"/>
          <w:sz w:val="22"/>
          <w:szCs w:val="22"/>
        </w:rPr>
        <w:t>Ovim Programom utvrđuje se namjena korištenje sredstava vodnog doprinosa ostvarenih uplatom dijela sredstava od vodnog doprinosa koja će u visini od 8% naplaćenih sredstava za područje Općine Mihovljan, Hrvatske vode uplatiti u Proračun Općine Mihovljan u 2025. godini u planiranom iznosu od 100,00 EUR.</w:t>
      </w:r>
    </w:p>
    <w:p>
      <w:pPr>
        <w:pStyle w:val="Normal"/>
        <w:ind w:firstLine="708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 razdoblju od 01.01.-30.06.2025. godine u proračun Općine Mihovljan pristiglo je 0,00 EUR vodnog doprinosa.</w:t>
      </w:r>
      <w:r>
        <w:rPr>
          <w:color w:val="auto"/>
          <w:sz w:val="22"/>
          <w:szCs w:val="22"/>
        </w:rPr>
        <w:t xml:space="preserve"> </w:t>
      </w:r>
    </w:p>
    <w:p>
      <w:pPr>
        <w:pStyle w:val="Normal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Ostvareni prihod od vodnog doprinosa u cijelosti će se </w:t>
      </w:r>
      <w:r>
        <w:rPr>
          <w:color w:val="000000" w:themeColor="text1"/>
          <w:sz w:val="22"/>
          <w:szCs w:val="22"/>
        </w:rPr>
        <w:t>utrošiti za izgradnju nogostupa i oborinske odvodnje.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>
      <w:pPr>
        <w:pStyle w:val="Normal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  Polugodišnje izvješće o izvršenju programa utroška sredstava vodnog doprinosa u 2025. godini godini objaviti će se u Službenom glasniku Krapinsko – zagorske županije.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mora, prometa i infrastrukture, Prisavlje 14, 10000 Zagreb -  na nadzor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5, 10000 Zagreb, 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-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KZŽ, Upravni odjel za financije i proračun, Magistratska 1, 49000 Krapina, </w:t>
      </w:r>
      <w:hyperlink r:id="rId4">
        <w:r>
          <w:rPr>
            <w:rStyle w:val="Internetskapoveznica"/>
            <w:sz w:val="20"/>
            <w:szCs w:val="20"/>
          </w:rPr>
          <w:t>financije@kzz.hr</w:t>
        </w:r>
      </w:hyperlink>
      <w:r>
        <w:rPr>
          <w:sz w:val="20"/>
          <w:szCs w:val="20"/>
        </w:rPr>
        <w:t xml:space="preserve"> (obavijest o objavi-  link objave u Službenom glasniku KZŽ i web stranica Općine Mihovljan) 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276" w:right="1133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198"/>
    <w:rPr>
      <w:color w:val="605E5C"/>
      <w:shd w:fill="E1DFDD" w:val="clear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sz w:val="20"/>
      <w:szCs w:val="20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 w:customStyle="1">
    <w:name w:val="ListLabel 5"/>
    <w:qFormat/>
    <w:rPr>
      <w:rFonts w:ascii="Arial Narrow" w:hAnsi="Arial Narrow" w:cs="Tahoma"/>
      <w:sz w:val="22"/>
      <w:szCs w:val="22"/>
    </w:rPr>
  </w:style>
  <w:style w:type="character" w:styleId="ListLabel6" w:customStyle="1">
    <w:name w:val="ListLabel 6"/>
    <w:qFormat/>
    <w:rPr>
      <w:rFonts w:ascii="Arial Narrow" w:hAnsi="Arial Narrow" w:cs="Tahoma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sz w:val="22"/>
      <w:szCs w:val="22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sz w:val="20"/>
      <w:szCs w:val="20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sz w:val="20"/>
      <w:szCs w:val="20"/>
    </w:rPr>
  </w:style>
  <w:style w:type="character" w:styleId="ListLabel16">
    <w:name w:val="ListLabel 16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19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../../../../../../C:/Users/Korisnik/Desktop/OP%C4%86INSKO%20VIJE%C4%86E/IV%20-%20SJEDNICE%20OP%C4%86INSKOG%20VIJE%C4%86A%202017-2021/26.%20SJEDNICA%2011-2020/PRIJEDLOZI/lokalni.proracuni@mfin.hr" TargetMode="External"/><Relationship Id="rId4" Type="http://schemas.openxmlformats.org/officeDocument/2006/relationships/hyperlink" Target="../../../../../../C:/Users/Korisnik/Desktop/OP%C4%86INSKO%20VIJE%C4%86E/IV%20-%20SJEDNICE%20OP%C4%86INSKOG%20VIJE%C4%86A%202017-2021/26.%20SJEDNICA%2011-2020/PRIJEDLOZI/financije@kzz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LibreOffice/6.2.4.2$Windows_X86_64 LibreOffice_project/2412653d852ce75f65fbfa83fb7e7b669a126d64</Application>
  <Pages>1</Pages>
  <Words>302</Words>
  <Characters>1897</Characters>
  <CharactersWithSpaces>2509</CharactersWithSpaces>
  <Paragraphs>33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2020-12-23T12:07:00Z</dcterms:created>
  <dc:creator>ZDENKO</dc:creator>
  <dc:description/>
  <dc:language>hr-HR</dc:language>
  <cp:lastModifiedBy/>
  <cp:lastPrinted>2024-12-30T09:15:16Z</cp:lastPrinted>
  <dcterms:modified xsi:type="dcterms:W3CDTF">2025-10-03T08:11:46Z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