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9975" w:type="dxa"/>
        <w:jc w:val="left"/>
        <w:tblInd w:w="-252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4074"/>
        <w:gridCol w:w="5900"/>
      </w:tblGrid>
      <w:tr>
        <w:trPr/>
        <w:tc>
          <w:tcPr>
            <w:tcW w:w="4074" w:type="dxa"/>
            <w:tcBorders/>
            <w:shd w:color="auto" w:fill="auto" w:val="clear"/>
          </w:tcPr>
          <w:p>
            <w:pPr>
              <w:pStyle w:val="Normal"/>
              <w:spacing w:lineRule="auto" w:line="36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/>
              <w:drawing>
                <wp:inline distT="0" distB="0" distL="0" distR="0">
                  <wp:extent cx="485775" cy="561975"/>
                  <wp:effectExtent l="0" t="0" r="0" b="0"/>
                  <wp:docPr id="1" name="Slika 1" descr="rh_g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Slika 1" descr="rh_g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REPUBLIKA HRVATSKA</w:t>
            </w:r>
          </w:p>
          <w:p>
            <w:pPr>
              <w:pStyle w:val="Normal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KRAPINSKO – ZAGORSKA ŽUPANIJA</w:t>
            </w:r>
          </w:p>
          <w:p>
            <w:pPr>
              <w:pStyle w:val="Stilnaslova1"/>
              <w:spacing w:lineRule="auto" w:line="24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OPĆINA MIHOVLJAN</w:t>
            </w:r>
          </w:p>
          <w:p>
            <w:pPr>
              <w:pStyle w:val="Normal"/>
              <w:jc w:val="center"/>
              <w:rPr>
                <w:b/>
                <w:b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</w:rPr>
              <w:t>OPĆINSKO VIJEĆE</w:t>
            </w:r>
          </w:p>
        </w:tc>
        <w:tc>
          <w:tcPr>
            <w:tcW w:w="5900" w:type="dxa"/>
            <w:tcBorders/>
            <w:shd w:color="auto" w:fill="auto" w:val="clear"/>
          </w:tcPr>
          <w:p>
            <w:pPr>
              <w:pStyle w:val="Normal"/>
              <w:jc w:val="center"/>
              <w:rPr>
                <w:b/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</w:r>
          </w:p>
          <w:p>
            <w:pPr>
              <w:pStyle w:val="Normal"/>
              <w:jc w:val="center"/>
              <w:rPr>
                <w:b/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</w:r>
          </w:p>
          <w:p>
            <w:pPr>
              <w:pStyle w:val="Normal"/>
              <w:jc w:val="right"/>
              <w:rPr>
                <w:b/>
                <w:b/>
                <w:sz w:val="22"/>
                <w:szCs w:val="22"/>
                <w:u w:val="single"/>
                <w:lang w:eastAsia="en-US"/>
              </w:rPr>
            </w:pPr>
            <w:r>
              <w:rPr>
                <w:b/>
                <w:sz w:val="22"/>
                <w:szCs w:val="22"/>
                <w:u w:val="single"/>
                <w:lang w:eastAsia="en-US"/>
              </w:rPr>
            </w:r>
          </w:p>
          <w:p>
            <w:pPr>
              <w:pStyle w:val="Normal"/>
              <w:jc w:val="right"/>
              <w:rPr>
                <w:b/>
                <w:b/>
                <w:sz w:val="22"/>
                <w:szCs w:val="22"/>
                <w:u w:val="single"/>
                <w:lang w:eastAsia="en-US"/>
              </w:rPr>
            </w:pPr>
            <w:r>
              <w:rPr>
                <w:b/>
                <w:sz w:val="22"/>
                <w:szCs w:val="22"/>
                <w:u w:val="single"/>
                <w:lang w:eastAsia="en-US"/>
              </w:rPr>
            </w:r>
          </w:p>
        </w:tc>
      </w:tr>
    </w:tbl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/>
      </w:pPr>
      <w:r>
        <w:rPr>
          <w:sz w:val="22"/>
          <w:szCs w:val="22"/>
        </w:rPr>
        <w:t>KLASA: 350-02/26-01/02</w:t>
      </w:r>
    </w:p>
    <w:p>
      <w:pPr>
        <w:pStyle w:val="Normal"/>
        <w:rPr/>
      </w:pPr>
      <w:r>
        <w:rPr>
          <w:sz w:val="22"/>
          <w:szCs w:val="22"/>
        </w:rPr>
        <w:t>URBROJ: 2140-23-1-26-02</w:t>
      </w:r>
    </w:p>
    <w:p>
      <w:pPr>
        <w:pStyle w:val="Normal"/>
        <w:rPr/>
      </w:pPr>
      <w:r>
        <w:rPr>
          <w:sz w:val="22"/>
          <w:szCs w:val="22"/>
        </w:rPr>
        <w:t>Mihovljan, 17. rujna 2026.</w:t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both"/>
        <w:rPr/>
      </w:pPr>
      <w:r>
        <w:rPr>
          <w:sz w:val="22"/>
          <w:szCs w:val="22"/>
        </w:rPr>
        <w:t xml:space="preserve">Na temelju članka 31. stavka 2. </w:t>
      </w:r>
      <w:bookmarkStart w:id="0" w:name="__DdeLink__762_2799254494"/>
      <w:r>
        <w:rPr>
          <w:sz w:val="22"/>
          <w:szCs w:val="22"/>
        </w:rPr>
        <w:t>Zakona o postupanju s nezakonito izgrađenim zgradama</w:t>
      </w:r>
      <w:bookmarkEnd w:id="0"/>
      <w:r>
        <w:rPr>
          <w:sz w:val="22"/>
          <w:szCs w:val="22"/>
        </w:rPr>
        <w:t xml:space="preserve"> ("Narodne novine" broj 86/12, 143/13, 65/17 i 14/19) i članka 39. Statuta Općine Mihovljan (“Službeni glasnik Krapinsko-zagorske županije” 05/13, 11/18, 8/20, 8/21), Općinsko vijeće Općine Mihovljan na svojoj 9. sjednici održanoj dana 17. rujna 2026., godine, donijelo je </w:t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/>
      </w:pPr>
      <w:r>
        <w:rPr>
          <w:b/>
          <w:sz w:val="22"/>
          <w:szCs w:val="22"/>
        </w:rPr>
        <w:t>IZVRŠENJE PROGRAMA UTROŠKA SREDSTAVA ZA 202</w:t>
      </w:r>
      <w:r>
        <w:rPr>
          <w:b/>
          <w:sz w:val="22"/>
          <w:szCs w:val="22"/>
        </w:rPr>
        <w:t>6</w:t>
      </w:r>
      <w:r>
        <w:rPr>
          <w:b/>
          <w:sz w:val="22"/>
          <w:szCs w:val="22"/>
        </w:rPr>
        <w:t xml:space="preserve">. GODINU OD NAKNADA ZA ZADRŽAVANJE NEZAKONITO IZGRAĐENIH ZGRADA U PROSTORU </w:t>
      </w:r>
      <w:r>
        <w:rPr>
          <w:b/>
          <w:bCs/>
          <w:sz w:val="22"/>
          <w:szCs w:val="22"/>
        </w:rPr>
        <w:t xml:space="preserve">ZA RAZDOBLJE </w:t>
        <w:br/>
        <w:t>01.01.-30.06.2026. GODINE</w:t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/>
      </w:pPr>
      <w:r>
        <w:rPr>
          <w:b/>
          <w:sz w:val="22"/>
          <w:szCs w:val="22"/>
        </w:rPr>
        <w:t>Članak 1</w:t>
      </w:r>
    </w:p>
    <w:p>
      <w:pPr>
        <w:pStyle w:val="Normal"/>
        <w:jc w:val="both"/>
        <w:rPr/>
      </w:pPr>
      <w:r>
        <w:rPr>
          <w:sz w:val="22"/>
          <w:szCs w:val="22"/>
        </w:rPr>
        <w:tab/>
        <w:t>Prihod Proračuna Općine Mihovljan za 2026. godinu od naknada za z</w:t>
      </w:r>
      <w:r>
        <w:rPr>
          <w:color w:val="auto"/>
          <w:sz w:val="22"/>
          <w:szCs w:val="22"/>
        </w:rPr>
        <w:t>adržavanje nezakonito izgrađenih zgrada u prostoru, a kao 30% ukupnog iznosa sredstava, planiran je iznos od 5.000,00 EUR.</w:t>
      </w:r>
    </w:p>
    <w:p>
      <w:pPr>
        <w:pStyle w:val="Normal"/>
        <w:jc w:val="both"/>
        <w:rPr/>
      </w:pPr>
      <w:r>
        <w:rPr>
          <w:color w:val="auto"/>
          <w:sz w:val="22"/>
          <w:szCs w:val="22"/>
        </w:rPr>
        <w:tab/>
        <w:t xml:space="preserve">U izvještajnom razdoblju 01.01.- 30.06.2026. ostvaren je prihod od naknada za zadržavanje nezakonito izgrađenih zgrada u prostoru, a kao 30% ukupnog iznosa sredstava u iznosu od 0,00 EURA. </w:t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>Članak 2</w:t>
      </w:r>
    </w:p>
    <w:p>
      <w:pPr>
        <w:pStyle w:val="Normal"/>
        <w:jc w:val="both"/>
        <w:rPr/>
      </w:pPr>
      <w:r>
        <w:rPr>
          <w:sz w:val="22"/>
          <w:szCs w:val="22"/>
        </w:rPr>
        <w:tab/>
        <w:t xml:space="preserve">Ostvareni prihod od naknada za zadržavanje nezakonito izgrađenih zgrada u prostoru utrošit će se za financiranje asfaltiranja i presvlačenja asfaltom postojećih nerazvrstanih cesta na području Mihovljana sukladno programu građenja komunalne infrastrukture za 2026. godinu. </w:t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>Članak 3</w:t>
      </w:r>
    </w:p>
    <w:p>
      <w:pPr>
        <w:pStyle w:val="Normal"/>
        <w:ind w:firstLine="708"/>
        <w:jc w:val="both"/>
        <w:rPr/>
      </w:pPr>
      <w:r>
        <w:rPr>
          <w:sz w:val="22"/>
          <w:szCs w:val="22"/>
        </w:rPr>
        <w:t>Ovo Izvršenje sastavni je dio Polugodišnjeg obračuna Proračuna Općine Mihovljan, a objaviti će se u „Službenom glasniku Krapinsko – zagorske županije” .</w:t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</w:t>
      </w:r>
      <w:r>
        <w:rPr>
          <w:sz w:val="22"/>
          <w:szCs w:val="22"/>
        </w:rPr>
        <w:t>Predsjednik Općinskog vijeća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ab/>
        <w:tab/>
        <w:tab/>
        <w:tab/>
        <w:tab/>
        <w:tab/>
        <w:tab/>
        <w:tab/>
        <w:t>mr. Silvestar Vučković dr.vet.med.</w:t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</w:t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DOSTAVITI:</w:t>
      </w:r>
    </w:p>
    <w:p>
      <w:pPr>
        <w:pStyle w:val="Normal"/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Ministarstvo prostornog uređenja, graditeljstva i državne imovine, Ul. Republike Austrije 20, 10000 Zagreb - na nadzor</w:t>
      </w:r>
    </w:p>
    <w:p>
      <w:pPr>
        <w:pStyle w:val="Normal"/>
        <w:numPr>
          <w:ilvl w:val="0"/>
          <w:numId w:val="1"/>
        </w:numPr>
        <w:jc w:val="both"/>
        <w:rPr/>
      </w:pPr>
      <w:r>
        <w:rPr>
          <w:sz w:val="20"/>
          <w:szCs w:val="20"/>
        </w:rPr>
        <w:t xml:space="preserve">Ministarstvo financija, Katančićeva  5, 10000 Zagreb, na znanje i </w:t>
      </w:r>
      <w:hyperlink r:id="rId3">
        <w:r>
          <w:rPr>
            <w:rStyle w:val="Internetskapoveznica"/>
            <w:sz w:val="20"/>
            <w:szCs w:val="20"/>
          </w:rPr>
          <w:t>lokalni.proracuni@mfin.hr</w:t>
        </w:r>
      </w:hyperlink>
      <w:r>
        <w:rPr>
          <w:sz w:val="20"/>
          <w:szCs w:val="20"/>
        </w:rPr>
        <w:t xml:space="preserve"> (obavijest o objavi – link Službenog glasnika i web stranice Općine Mihovljan)</w:t>
      </w:r>
    </w:p>
    <w:p>
      <w:pPr>
        <w:pStyle w:val="Normal"/>
        <w:numPr>
          <w:ilvl w:val="0"/>
          <w:numId w:val="1"/>
        </w:numPr>
        <w:jc w:val="both"/>
        <w:rPr/>
      </w:pPr>
      <w:r>
        <w:rPr>
          <w:sz w:val="20"/>
          <w:szCs w:val="20"/>
        </w:rPr>
        <w:t xml:space="preserve">Državni ured za reviziju, Područni ured Krapina, Gajeva 2/II, 49000 Krapina, </w:t>
      </w:r>
      <w:hyperlink r:id="rId4">
        <w:r>
          <w:rPr>
            <w:rStyle w:val="Internetskapoveznica"/>
            <w:sz w:val="20"/>
            <w:szCs w:val="20"/>
          </w:rPr>
          <w:t>dur.krapina@revizija.hr</w:t>
        </w:r>
      </w:hyperlink>
      <w:r>
        <w:rPr>
          <w:sz w:val="20"/>
          <w:szCs w:val="20"/>
        </w:rPr>
        <w:t xml:space="preserve"> (obavijest o objavi – link Službenog glasnika i web stranice Općine Mihovljan)</w:t>
      </w:r>
    </w:p>
    <w:p>
      <w:pPr>
        <w:pStyle w:val="Normal"/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Krapinsko-zagorska županija, Upravni odjel za poslove Županijske skupštine, n/r Svjetlane Goričan, Magistratska 1, 49000 Krapina (za objavu),</w:t>
      </w:r>
    </w:p>
    <w:p>
      <w:pPr>
        <w:pStyle w:val="Normal"/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Krapinsko-zagorska županija, Upravni odjel za financije i proračun, Magistratska 1, 49000 Krapina, (obavijest o objavi – link Službenog glasnika i web stranice Općine Mihovljan)</w:t>
      </w:r>
    </w:p>
    <w:p>
      <w:pPr>
        <w:pStyle w:val="Normal"/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Oglasna ploča i WEB stranica Općine Mihovljan,</w:t>
      </w:r>
    </w:p>
    <w:p>
      <w:pPr>
        <w:pStyle w:val="Normal"/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Općinskom načelniku Općine Mihovljan,</w:t>
      </w:r>
    </w:p>
    <w:p>
      <w:pPr>
        <w:pStyle w:val="Normal"/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Jedinstveni upravni odjel, ovdje,</w:t>
      </w:r>
    </w:p>
    <w:p>
      <w:pPr>
        <w:pStyle w:val="Normal"/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Prilog zapisniku,</w:t>
      </w:r>
    </w:p>
    <w:p>
      <w:pPr>
        <w:pStyle w:val="Normal"/>
        <w:numPr>
          <w:ilvl w:val="0"/>
          <w:numId w:val="1"/>
        </w:numPr>
        <w:jc w:val="both"/>
        <w:rPr/>
      </w:pPr>
      <w:r>
        <w:rPr>
          <w:sz w:val="20"/>
          <w:szCs w:val="20"/>
        </w:rPr>
        <w:t>Pismohrana</w:t>
      </w:r>
    </w:p>
    <w:sectPr>
      <w:type w:val="nextPage"/>
      <w:pgSz w:w="11906" w:h="16838"/>
      <w:pgMar w:left="1029" w:right="1181" w:header="0" w:top="273" w:footer="0" w:bottom="18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Estrangelo Edessa">
    <w:charset w:val="ee"/>
    <w:family w:val="roman"/>
    <w:pitch w:val="variable"/>
  </w:font>
  <w:font w:name="Tahoma">
    <w:charset w:val="ee"/>
    <w:family w:val="roman"/>
    <w:pitch w:val="variable"/>
  </w:font>
  <w:font w:name="Arial Narrow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embedSystemFonts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hr-H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hr-HR" w:eastAsia="hr-HR" w:bidi="ar-SA"/>
      </w:rPr>
    </w:rPrDefault>
    <w:pPrDefault>
      <w:pPr/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2c3a68"/>
    <w:pPr>
      <w:widowControl/>
      <w:bidi w:val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hr-HR" w:eastAsia="hr-HR" w:bidi="ar-SA"/>
    </w:rPr>
  </w:style>
  <w:style w:type="paragraph" w:styleId="Stilnaslova1">
    <w:name w:val="Heading 1"/>
    <w:basedOn w:val="Normal"/>
    <w:next w:val="Normal"/>
    <w:qFormat/>
    <w:rsid w:val="002c3a68"/>
    <w:pPr>
      <w:keepNext w:val="true"/>
      <w:spacing w:lineRule="auto" w:line="360"/>
      <w:outlineLvl w:val="0"/>
    </w:pPr>
    <w:rPr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skapoveznica" w:customStyle="1">
    <w:name w:val="Internetska poveznica"/>
    <w:basedOn w:val="DefaultParagraphFont"/>
    <w:rsid w:val="002c3a68"/>
    <w:rPr>
      <w:color w:val="0000FF"/>
      <w:u w:val="single"/>
    </w:rPr>
  </w:style>
  <w:style w:type="character" w:styleId="TijelotekstaChar" w:customStyle="1">
    <w:name w:val="Tijelo teksta Char"/>
    <w:basedOn w:val="DefaultParagraphFont"/>
    <w:link w:val="Tijeloteksta"/>
    <w:qFormat/>
    <w:rsid w:val="00bb25e1"/>
    <w:rPr>
      <w:rFonts w:ascii="Estrangelo Edessa" w:hAnsi="Estrangelo Edessa"/>
    </w:rPr>
  </w:style>
  <w:style w:type="character" w:styleId="TekstbaloniaChar" w:customStyle="1">
    <w:name w:val="Tekst balončića Char"/>
    <w:basedOn w:val="DefaultParagraphFont"/>
    <w:link w:val="Tekstbalonia"/>
    <w:qFormat/>
    <w:rsid w:val="0014060a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4107f7"/>
    <w:rPr>
      <w:color w:val="605E5C"/>
      <w:shd w:fill="E1DFDD" w:val="clear"/>
    </w:rPr>
  </w:style>
  <w:style w:type="character" w:styleId="ListLabel1" w:customStyle="1">
    <w:name w:val="ListLabel 1"/>
    <w:qFormat/>
    <w:rPr>
      <w:rFonts w:ascii="Arial Narrow" w:hAnsi="Arial Narrow" w:cs="Tahoma"/>
      <w:sz w:val="22"/>
      <w:szCs w:val="22"/>
    </w:rPr>
  </w:style>
  <w:style w:type="character" w:styleId="ListLabel2" w:customStyle="1">
    <w:name w:val="ListLabel 2"/>
    <w:qFormat/>
    <w:rPr>
      <w:rFonts w:ascii="Arial Narrow" w:hAnsi="Arial Narrow" w:cs="Tahoma"/>
      <w:sz w:val="22"/>
      <w:szCs w:val="22"/>
    </w:rPr>
  </w:style>
  <w:style w:type="character" w:styleId="ListLabel3" w:customStyle="1">
    <w:name w:val="ListLabel 3"/>
    <w:qFormat/>
    <w:rPr>
      <w:rFonts w:ascii="Arial Narrow" w:hAnsi="Arial Narrow" w:cs="Tahoma"/>
      <w:sz w:val="22"/>
      <w:szCs w:val="22"/>
    </w:rPr>
  </w:style>
  <w:style w:type="character" w:styleId="ListLabel4" w:customStyle="1">
    <w:name w:val="ListLabel 4"/>
    <w:qFormat/>
    <w:rPr>
      <w:rFonts w:ascii="Arial Narrow" w:hAnsi="Arial Narrow" w:cs="Tahoma"/>
      <w:sz w:val="22"/>
      <w:szCs w:val="22"/>
    </w:rPr>
  </w:style>
  <w:style w:type="character" w:styleId="ListLabel5">
    <w:name w:val="ListLabel 5"/>
    <w:qFormat/>
    <w:rPr>
      <w:sz w:val="20"/>
      <w:szCs w:val="20"/>
    </w:rPr>
  </w:style>
  <w:style w:type="character" w:styleId="ListLabel6">
    <w:name w:val="ListLabel 6"/>
    <w:qFormat/>
    <w:rPr>
      <w:sz w:val="20"/>
      <w:szCs w:val="20"/>
    </w:rPr>
  </w:style>
  <w:style w:type="character" w:styleId="ListLabel7">
    <w:name w:val="ListLabel 7"/>
    <w:qFormat/>
    <w:rPr>
      <w:sz w:val="20"/>
      <w:szCs w:val="20"/>
    </w:rPr>
  </w:style>
  <w:style w:type="character" w:styleId="ListLabel8">
    <w:name w:val="ListLabel 8"/>
    <w:qFormat/>
    <w:rPr>
      <w:sz w:val="20"/>
      <w:szCs w:val="20"/>
    </w:rPr>
  </w:style>
  <w:style w:type="character" w:styleId="ListLabel9">
    <w:name w:val="ListLabel 9"/>
    <w:qFormat/>
    <w:rPr>
      <w:sz w:val="20"/>
      <w:szCs w:val="20"/>
    </w:rPr>
  </w:style>
  <w:style w:type="character" w:styleId="ListLabel10">
    <w:name w:val="ListLabel 10"/>
    <w:qFormat/>
    <w:rPr>
      <w:sz w:val="20"/>
      <w:szCs w:val="20"/>
    </w:rPr>
  </w:style>
  <w:style w:type="character" w:styleId="ListLabel11">
    <w:name w:val="ListLabel 11"/>
    <w:qFormat/>
    <w:rPr>
      <w:sz w:val="20"/>
      <w:szCs w:val="20"/>
    </w:rPr>
  </w:style>
  <w:style w:type="character" w:styleId="ListLabel12">
    <w:name w:val="ListLabel 12"/>
    <w:qFormat/>
    <w:rPr>
      <w:sz w:val="20"/>
      <w:szCs w:val="20"/>
    </w:rPr>
  </w:style>
  <w:style w:type="character" w:styleId="ListLabel13">
    <w:name w:val="ListLabel 13"/>
    <w:qFormat/>
    <w:rPr>
      <w:sz w:val="20"/>
      <w:szCs w:val="20"/>
    </w:rPr>
  </w:style>
  <w:style w:type="character" w:styleId="ListLabel14">
    <w:name w:val="ListLabel 14"/>
    <w:qFormat/>
    <w:rPr>
      <w:sz w:val="20"/>
      <w:szCs w:val="20"/>
    </w:rPr>
  </w:style>
  <w:style w:type="character" w:styleId="ListLabel15">
    <w:name w:val="ListLabel 15"/>
    <w:qFormat/>
    <w:rPr>
      <w:sz w:val="20"/>
      <w:szCs w:val="20"/>
    </w:rPr>
  </w:style>
  <w:style w:type="character" w:styleId="ListLabel16">
    <w:name w:val="ListLabel 16"/>
    <w:qFormat/>
    <w:rPr>
      <w:sz w:val="20"/>
      <w:szCs w:val="20"/>
    </w:rPr>
  </w:style>
  <w:style w:type="paragraph" w:styleId="Stilnaslova" w:customStyle="1">
    <w:name w:val="Stil naslova"/>
    <w:basedOn w:val="Normal"/>
    <w:next w:val="Tijeloteksta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ijeloteksta">
    <w:name w:val="Body Text"/>
    <w:basedOn w:val="Normal"/>
    <w:link w:val="TijelotekstaChar"/>
    <w:rsid w:val="002c3a68"/>
    <w:pPr>
      <w:jc w:val="right"/>
    </w:pPr>
    <w:rPr>
      <w:rFonts w:ascii="Estrangelo Edessa" w:hAnsi="Estrangelo Edessa"/>
      <w:sz w:val="20"/>
      <w:szCs w:val="20"/>
    </w:rPr>
  </w:style>
  <w:style w:type="paragraph" w:styleId="Popis">
    <w:name w:val="List"/>
    <w:basedOn w:val="Tijeloteksta"/>
    <w:pPr/>
    <w:rPr>
      <w:rFonts w:cs="Arial"/>
    </w:rPr>
  </w:style>
  <w:style w:type="paragraph" w:styleId="Opiselement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BalloonText">
    <w:name w:val="Balloon Text"/>
    <w:basedOn w:val="Normal"/>
    <w:link w:val="TekstbaloniaChar"/>
    <w:qFormat/>
    <w:rsid w:val="0014060a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4060a"/>
    <w:pPr>
      <w:spacing w:before="0" w:after="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Reetkatablice">
    <w:name w:val="Table Grid"/>
    <w:basedOn w:val="Obinatablica"/>
    <w:uiPriority w:val="59"/>
    <w:rsid w:val="00777bcf"/>
    <w:rPr>
      <w:rFonts w:asciiTheme="minorHAnsi" w:hAnsiTheme="minorHAnsi" w:eastAsiaTheme="minorHAnsi" w:cstheme="minorBidi"/>
      <w:lang w:eastAsia="en-US"/>
      <w:sz w:val="22"/>
      <w:szCs w:val="22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mailto:lokalni.proracuni@mfin.hr" TargetMode="External"/><Relationship Id="rId4" Type="http://schemas.openxmlformats.org/officeDocument/2006/relationships/hyperlink" Target="mailto:dur.krapina@revizija.hr" TargetMode="Externa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Application>LibreOffice/6.2.4.2$Windows_X86_64 LibreOffice_project/2412653d852ce75f65fbfa83fb7e7b669a126d64</Application>
  <Pages>1</Pages>
  <Words>341</Words>
  <Characters>2198</Characters>
  <CharactersWithSpaces>2720</CharactersWithSpaces>
  <Paragraphs>31</Paragraphs>
  <Company>OPĆINA MIHOVLJAN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2020-12-23T12:13:00Z</dcterms:created>
  <dc:creator>ZDENKO</dc:creator>
  <dc:description/>
  <dc:language>hr-HR</dc:language>
  <cp:lastModifiedBy/>
  <cp:lastPrinted>2024-12-30T09:14:19Z</cp:lastPrinted>
  <dcterms:modified xsi:type="dcterms:W3CDTF">2026-10-08T08:40:40Z</dcterms:modified>
  <cp:revision>27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OPĆINA MIHOVLJAN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