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10716" w:type="dxa"/>
        <w:jc w:val="left"/>
        <w:tblInd w:w="-540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150"/>
        <w:gridCol w:w="6565"/>
      </w:tblGrid>
      <w:tr>
        <w:trPr>
          <w:trHeight w:val="1611" w:hRule="atLeast"/>
        </w:trPr>
        <w:tc>
          <w:tcPr>
            <w:tcW w:w="415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/>
                <w:b/>
                <w:bCs/>
                <w:sz w:val="22"/>
              </w:rPr>
            </w:pPr>
            <w:r>
              <w:rPr/>
              <w:drawing>
                <wp:inline distT="0" distB="0" distL="0" distR="0">
                  <wp:extent cx="478155" cy="553085"/>
                  <wp:effectExtent l="0" t="0" r="0" b="0"/>
                  <wp:docPr id="1" name="Slika 1" descr="rh_g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lika 1" descr="rh_g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155" cy="553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REPUBLIKA HRVATSKA</w:t>
            </w:r>
          </w:p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KRAPINSKO - ZAGORSKA ŽUPANIJA</w:t>
            </w:r>
          </w:p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OPĆINA MIHOVLJAN</w:t>
            </w:r>
          </w:p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OPĆINSKO VIJEĆE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lang w:eastAsia="en-US"/>
              </w:rPr>
            </w:pPr>
            <w:r>
              <w:rPr>
                <w:b/>
                <w:sz w:val="22"/>
                <w:lang w:eastAsia="en-US"/>
              </w:rPr>
            </w:r>
          </w:p>
        </w:tc>
        <w:tc>
          <w:tcPr>
            <w:tcW w:w="6565" w:type="dxa"/>
            <w:tcBorders/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lang w:eastAsia="en-US"/>
              </w:rPr>
            </w:pPr>
            <w:r>
              <w:rPr>
                <w:b/>
                <w:sz w:val="22"/>
                <w:lang w:eastAsia="en-US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lang w:eastAsia="en-US"/>
              </w:rPr>
            </w:pPr>
            <w:r>
              <w:rPr>
                <w:b/>
                <w:sz w:val="22"/>
                <w:lang w:eastAsia="en-US"/>
              </w:rPr>
            </w:r>
          </w:p>
          <w:p>
            <w:pPr>
              <w:pStyle w:val="Normal"/>
              <w:widowControl w:val="false"/>
              <w:jc w:val="right"/>
              <w:rPr>
                <w:b/>
                <w:b/>
                <w:sz w:val="22"/>
                <w:u w:val="single"/>
                <w:lang w:eastAsia="en-US"/>
              </w:rPr>
            </w:pPr>
            <w:r>
              <w:rPr/>
            </w:r>
          </w:p>
          <w:p>
            <w:pPr>
              <w:pStyle w:val="Normal"/>
              <w:widowControl w:val="false"/>
              <w:jc w:val="right"/>
              <w:rPr>
                <w:b/>
                <w:b/>
                <w:sz w:val="22"/>
                <w:u w:val="single"/>
                <w:lang w:eastAsia="en-US"/>
              </w:rPr>
            </w:pPr>
            <w:r>
              <w:rPr>
                <w:b/>
                <w:sz w:val="22"/>
                <w:u w:val="single"/>
                <w:lang w:eastAsia="en-US"/>
              </w:rPr>
            </w:r>
          </w:p>
        </w:tc>
      </w:tr>
    </w:tbl>
    <w:p>
      <w:pPr>
        <w:pStyle w:val="Normal"/>
        <w:rPr/>
      </w:pPr>
      <w:r>
        <w:rPr>
          <w:sz w:val="22"/>
          <w:szCs w:val="22"/>
        </w:rPr>
        <w:t>KLASA: 363-01/26-01/</w:t>
      </w:r>
      <w:r>
        <w:rPr>
          <w:sz w:val="22"/>
          <w:szCs w:val="22"/>
        </w:rPr>
        <w:t>09</w:t>
      </w:r>
    </w:p>
    <w:p>
      <w:pPr>
        <w:pStyle w:val="Normal"/>
        <w:rPr/>
      </w:pPr>
      <w:r>
        <w:rPr>
          <w:sz w:val="22"/>
          <w:szCs w:val="22"/>
        </w:rPr>
        <w:t>URBROJ: 2140-23-1-26-</w:t>
      </w:r>
      <w:r>
        <w:rPr>
          <w:sz w:val="22"/>
          <w:szCs w:val="22"/>
        </w:rPr>
        <w:t>02</w:t>
      </w:r>
    </w:p>
    <w:p>
      <w:pPr>
        <w:pStyle w:val="Normal"/>
        <w:rPr/>
      </w:pPr>
      <w:r>
        <w:rPr>
          <w:sz w:val="22"/>
          <w:szCs w:val="22"/>
        </w:rPr>
        <w:t xml:space="preserve">Mihovljan, </w:t>
      </w:r>
      <w:r>
        <w:rPr>
          <w:sz w:val="22"/>
          <w:szCs w:val="22"/>
        </w:rPr>
        <w:t>17</w:t>
      </w:r>
      <w:r>
        <w:rPr>
          <w:sz w:val="22"/>
          <w:szCs w:val="22"/>
        </w:rPr>
        <w:t>. rujna 2026.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/>
      </w:pPr>
      <w:r>
        <w:rPr>
          <w:sz w:val="22"/>
          <w:szCs w:val="22"/>
        </w:rPr>
        <w:t xml:space="preserve">Na temelju odredbe članka 67. Stavak 1 Zakona o komunalnom gospodarstvu („Narodne novine“ broj 68/18 i 110/18, 32/20 i 145/24), članka 30. Zakona o vodama („Narodne Novine“ br. 66/19, 84/21 i 47/23) i članka 39. Statuta Općine Mihovljan („Službeni glasnik Krapinsko-zagorske županije“ br. 5/13, 11/18, 8/20 i 8/21), Općinsko vijeće Općine Mihovljan na svojoj </w:t>
      </w:r>
      <w:r>
        <w:rPr>
          <w:sz w:val="22"/>
          <w:szCs w:val="22"/>
        </w:rPr>
        <w:t>9</w:t>
      </w:r>
      <w:r>
        <w:rPr>
          <w:sz w:val="22"/>
          <w:szCs w:val="22"/>
        </w:rPr>
        <w:t xml:space="preserve">. sjednici održanoj dana </w:t>
      </w:r>
      <w:r>
        <w:rPr>
          <w:sz w:val="22"/>
          <w:szCs w:val="22"/>
        </w:rPr>
        <w:t>17</w:t>
      </w:r>
      <w:r>
        <w:rPr>
          <w:sz w:val="22"/>
          <w:szCs w:val="22"/>
        </w:rPr>
        <w:t xml:space="preserve">. rujna 2026. godine, donijelo je 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/>
      </w:pPr>
      <w:r>
        <w:rPr>
          <w:b/>
          <w:sz w:val="22"/>
          <w:szCs w:val="22"/>
        </w:rPr>
        <w:t xml:space="preserve">IZVRŠENJE PROGRAMA GRAĐENJA OBJEKATA KOMUNALNE INFRASTRUKTURE </w:t>
        <w:br/>
      </w:r>
      <w:bookmarkStart w:id="0" w:name="__DdeLink__968_2074773784"/>
      <w:r>
        <w:rPr>
          <w:b/>
          <w:sz w:val="22"/>
          <w:szCs w:val="22"/>
        </w:rPr>
        <w:t>ZA RAZDOBLJE OD 01.01. – 30.06.2026. GODINE</w:t>
      </w:r>
      <w:bookmarkEnd w:id="0"/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center"/>
        <w:rPr/>
      </w:pPr>
      <w:r>
        <w:rPr>
          <w:b/>
          <w:bCs/>
          <w:sz w:val="22"/>
          <w:szCs w:val="22"/>
        </w:rPr>
        <w:t>Članak 1.</w:t>
      </w:r>
    </w:p>
    <w:p>
      <w:pPr>
        <w:pStyle w:val="Normal"/>
        <w:spacing w:lineRule="auto" w:line="276"/>
        <w:jc w:val="both"/>
        <w:rPr/>
      </w:pPr>
      <w:r>
        <w:rPr>
          <w:sz w:val="22"/>
          <w:szCs w:val="22"/>
        </w:rPr>
        <w:tab/>
        <w:t>Ovim Programom određuje se građenje komunalne infrastrukture na području Općine Mihovljan za 2026. godinu, a istim se određuju: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276"/>
        <w:rPr>
          <w:sz w:val="22"/>
          <w:szCs w:val="22"/>
        </w:rPr>
      </w:pPr>
      <w:r>
        <w:rPr>
          <w:sz w:val="22"/>
          <w:szCs w:val="22"/>
        </w:rPr>
        <w:t xml:space="preserve">građevine komunalne infrastrukture koje će se graditi radi uređenja neuređenih dijelova građevinskog </w:t>
        <w:br/>
        <w:t>područja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276"/>
        <w:rPr>
          <w:sz w:val="22"/>
          <w:szCs w:val="22"/>
        </w:rPr>
      </w:pPr>
      <w:r>
        <w:rPr>
          <w:sz w:val="22"/>
          <w:szCs w:val="22"/>
        </w:rPr>
        <w:t xml:space="preserve">građevine komunalne infrastrukture koje će se graditi u uređenim dijelovima građevinskog područja 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276"/>
        <w:rPr>
          <w:sz w:val="22"/>
          <w:szCs w:val="22"/>
        </w:rPr>
      </w:pPr>
      <w:r>
        <w:rPr>
          <w:sz w:val="22"/>
          <w:szCs w:val="22"/>
        </w:rPr>
        <w:t xml:space="preserve">građevine koje će se graditi izvan građevinskog područja 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276"/>
        <w:rPr>
          <w:sz w:val="22"/>
          <w:szCs w:val="22"/>
        </w:rPr>
      </w:pPr>
      <w:r>
        <w:rPr>
          <w:sz w:val="22"/>
          <w:szCs w:val="22"/>
        </w:rPr>
        <w:t>postojeće građevine komunalne infrastrukture koje će se rekonstruirati i način rekonstrukcije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276"/>
        <w:rPr>
          <w:sz w:val="22"/>
          <w:szCs w:val="22"/>
        </w:rPr>
      </w:pPr>
      <w:r>
        <w:rPr>
          <w:sz w:val="22"/>
          <w:szCs w:val="22"/>
        </w:rPr>
        <w:t>građevine komunalne infrastrukture koje će se uklanjati</w:t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Program se odnosi na građenje objekata i uređaja komunalne infrastrukture i to na:</w:t>
      </w:r>
    </w:p>
    <w:p>
      <w:pPr>
        <w:pStyle w:val="Normal"/>
        <w:widowControl w:val="false"/>
        <w:numPr>
          <w:ilvl w:val="0"/>
          <w:numId w:val="1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nerazvrstane ceste</w:t>
      </w:r>
    </w:p>
    <w:p>
      <w:pPr>
        <w:pStyle w:val="Normal"/>
        <w:widowControl w:val="false"/>
        <w:numPr>
          <w:ilvl w:val="0"/>
          <w:numId w:val="1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javne površine (javne prometne površine na kojima nije dopušten promet motornih vozila, javna parkirališta, javne garaže, javne zelene površine)</w:t>
      </w:r>
    </w:p>
    <w:p>
      <w:pPr>
        <w:pStyle w:val="Normal"/>
        <w:widowControl w:val="false"/>
        <w:numPr>
          <w:ilvl w:val="0"/>
          <w:numId w:val="1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građevine i uređaje javne namjene</w:t>
      </w:r>
    </w:p>
    <w:p>
      <w:pPr>
        <w:pStyle w:val="Normal"/>
        <w:widowControl w:val="false"/>
        <w:numPr>
          <w:ilvl w:val="0"/>
          <w:numId w:val="1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javnu rasvjetu</w:t>
      </w:r>
    </w:p>
    <w:p>
      <w:pPr>
        <w:pStyle w:val="Normal"/>
        <w:widowControl w:val="false"/>
        <w:numPr>
          <w:ilvl w:val="0"/>
          <w:numId w:val="1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groblja i krematorije na grobljima</w:t>
      </w:r>
    </w:p>
    <w:p>
      <w:pPr>
        <w:pStyle w:val="Normal"/>
        <w:widowControl w:val="false"/>
        <w:numPr>
          <w:ilvl w:val="0"/>
          <w:numId w:val="1"/>
        </w:numPr>
        <w:spacing w:lineRule="auto" w:line="276"/>
        <w:jc w:val="both"/>
        <w:rPr/>
      </w:pPr>
      <w:r>
        <w:rPr>
          <w:sz w:val="22"/>
          <w:szCs w:val="22"/>
        </w:rPr>
        <w:t xml:space="preserve">građevine namijenjene obavljanju javnog prijevoza </w:t>
      </w:r>
    </w:p>
    <w:p>
      <w:pPr>
        <w:pStyle w:val="Normal"/>
        <w:widowControl w:val="false"/>
        <w:numPr>
          <w:ilvl w:val="0"/>
          <w:numId w:val="0"/>
        </w:numPr>
        <w:spacing w:lineRule="auto" w:line="276"/>
        <w:ind w:left="1068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76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Članak 2.</w:t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ab/>
        <w:t>Program građenja komunalne infrastrukture sadrži procjenu troškova nastalih za rješavanje imovinskopravnih odnosa, projektiranja, građenja, provedbe stručnog nadzora građenja i provedbe vođenja projekata građenja komunalne infrastrukture s naznakom izvora njihova financiranja.</w:t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Spacing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Članak 3.</w:t>
      </w:r>
    </w:p>
    <w:p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>Ovim Programom nisu predviđene građevine komunalne infrastrukture koje će se graditi izvan građevinskog područja, niti ima građevina predviđenih za uklanjanje. Također nije predviđeno građenje građevina za gospodarenje komunalnim otpadom.</w:t>
      </w:r>
    </w:p>
    <w:p>
      <w:pPr>
        <w:pStyle w:val="Normal"/>
        <w:suppressAutoHyphens w:val="false"/>
        <w:spacing w:lineRule="auto" w:line="276"/>
        <w:rPr>
          <w:sz w:val="22"/>
          <w:szCs w:val="22"/>
        </w:rPr>
      </w:pPr>
      <w:r>
        <w:rPr>
          <w:sz w:val="22"/>
          <w:szCs w:val="22"/>
        </w:rPr>
        <w:t>Građevine koje će se graditi radi uređenja neuređenih dijelova građevinskog područja, građevine</w:t>
      </w:r>
    </w:p>
    <w:p>
      <w:pPr>
        <w:pStyle w:val="Normal"/>
        <w:spacing w:lineRule="auto" w:line="276" w:before="0" w:after="240"/>
        <w:rPr/>
      </w:pPr>
      <w:r>
        <w:rPr>
          <w:sz w:val="22"/>
          <w:szCs w:val="22"/>
        </w:rPr>
        <w:t>koje će se graditi u uređenim dijelovima građevinskog područja  i građevine koje će se rekonstruirati daju se u nastavku:</w:t>
      </w:r>
    </w:p>
    <w:p>
      <w:pPr>
        <w:pStyle w:val="Normal"/>
        <w:spacing w:lineRule="auto" w:line="276" w:before="0" w:after="24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76" w:before="0" w:after="24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76" w:before="0" w:after="24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76" w:before="0" w:after="24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76" w:before="0" w:after="240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Style w:val="Reetkatablice"/>
        <w:tblW w:w="10156" w:type="dxa"/>
        <w:jc w:val="left"/>
        <w:tblInd w:w="-111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81"/>
        <w:gridCol w:w="3563"/>
        <w:gridCol w:w="14"/>
        <w:gridCol w:w="1738"/>
        <w:gridCol w:w="1"/>
        <w:gridCol w:w="1586"/>
        <w:gridCol w:w="1"/>
        <w:gridCol w:w="550"/>
        <w:gridCol w:w="1144"/>
        <w:gridCol w:w="2"/>
        <w:gridCol w:w="975"/>
      </w:tblGrid>
      <w:tr>
        <w:trPr>
          <w:trHeight w:val="397" w:hRule="atLeast"/>
        </w:trPr>
        <w:tc>
          <w:tcPr>
            <w:tcW w:w="10155" w:type="dxa"/>
            <w:gridSpan w:val="11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 Građevine komunalne infrastrukture koje će se graditi u uređenim dijelova građevinskog područja</w:t>
            </w:r>
          </w:p>
        </w:tc>
      </w:tr>
      <w:tr>
        <w:trPr>
          <w:trHeight w:val="397" w:hRule="atLeast"/>
        </w:trPr>
        <w:tc>
          <w:tcPr>
            <w:tcW w:w="581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r.br.</w:t>
            </w:r>
          </w:p>
        </w:tc>
        <w:tc>
          <w:tcPr>
            <w:tcW w:w="356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753" w:type="dxa"/>
            <w:gridSpan w:val="3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Planirano ukupno (EUR)</w:t>
            </w:r>
          </w:p>
        </w:tc>
        <w:tc>
          <w:tcPr>
            <w:tcW w:w="1587" w:type="dxa"/>
            <w:gridSpan w:val="2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Izvršenje 01.01.-30.06.2026.</w:t>
            </w:r>
          </w:p>
        </w:tc>
        <w:tc>
          <w:tcPr>
            <w:tcW w:w="1696" w:type="dxa"/>
            <w:gridSpan w:val="3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Izvori financiranja</w:t>
            </w:r>
          </w:p>
        </w:tc>
        <w:tc>
          <w:tcPr>
            <w:tcW w:w="975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Pozicija</w:t>
            </w:r>
          </w:p>
        </w:tc>
      </w:tr>
      <w:tr>
        <w:trPr/>
        <w:tc>
          <w:tcPr>
            <w:tcW w:w="581" w:type="dxa"/>
            <w:tcBorders>
              <w:top w:val="nil"/>
              <w:right w:val="nil"/>
            </w:tcBorders>
            <w:shd w:color="auto" w:fill="D9D9D9" w:themeFill="background1" w:themeFillShade="d9" w:val="clear"/>
          </w:tcPr>
          <w:p>
            <w:pPr>
              <w:pStyle w:val="Normal"/>
              <w:widowControl w:val="false"/>
              <w:jc w:val="both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</w:rPr>
              <w:t>1.1.</w:t>
            </w:r>
          </w:p>
        </w:tc>
        <w:tc>
          <w:tcPr>
            <w:tcW w:w="9574" w:type="dxa"/>
            <w:gridSpan w:val="10"/>
            <w:tcBorders>
              <w:top w:val="nil"/>
            </w:tcBorders>
            <w:shd w:color="auto" w:fill="D9D9D9" w:themeFill="background1" w:themeFillShade="d9" w:val="clear"/>
          </w:tcPr>
          <w:p>
            <w:pPr>
              <w:pStyle w:val="Normal"/>
              <w:widowControl w:val="false"/>
              <w:jc w:val="both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</w:rPr>
              <w:t>JAVNA RASVJETA</w:t>
            </w:r>
          </w:p>
        </w:tc>
      </w:tr>
      <w:tr>
        <w:trPr>
          <w:trHeight w:val="356" w:hRule="atLeast"/>
        </w:trPr>
        <w:tc>
          <w:tcPr>
            <w:tcW w:w="581" w:type="dxa"/>
            <w:vMerge w:val="restart"/>
            <w:tcBorders/>
            <w:shd w:fill="auto" w:val="clear"/>
            <w:vAlign w:val="center"/>
          </w:tcPr>
          <w:p>
            <w:pPr>
              <w:pStyle w:val="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a)</w:t>
            </w:r>
          </w:p>
        </w:tc>
        <w:tc>
          <w:tcPr>
            <w:tcW w:w="3563" w:type="dxa"/>
            <w:tcBorders/>
            <w:shd w:color="auto" w:fill="EEEEEE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Javna rasvjeta</w:t>
            </w:r>
          </w:p>
        </w:tc>
        <w:tc>
          <w:tcPr>
            <w:tcW w:w="1753" w:type="dxa"/>
            <w:gridSpan w:val="3"/>
            <w:vMerge w:val="restart"/>
            <w:tcBorders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10.000,00</w:t>
            </w:r>
          </w:p>
        </w:tc>
        <w:tc>
          <w:tcPr>
            <w:tcW w:w="1587" w:type="dxa"/>
            <w:gridSpan w:val="2"/>
            <w:vMerge w:val="restart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96" w:type="dxa"/>
            <w:gridSpan w:val="3"/>
            <w:vMerge w:val="restart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"/>
                <w:color w:val="auto"/>
                <w:sz w:val="14"/>
                <w:szCs w:val="14"/>
              </w:rPr>
              <w:t>Proračun Općine (11-Opći prihodi i primici) = 10.000,00 eura</w:t>
            </w:r>
          </w:p>
        </w:tc>
        <w:tc>
          <w:tcPr>
            <w:tcW w:w="975" w:type="dxa"/>
            <w:vMerge w:val="restart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4511.10</w:t>
            </w:r>
          </w:p>
        </w:tc>
      </w:tr>
      <w:tr>
        <w:trPr>
          <w:trHeight w:val="622" w:hRule="atLeast"/>
        </w:trPr>
        <w:tc>
          <w:tcPr>
            <w:tcW w:w="581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/>
                <w:color w:val="auto"/>
                <w:sz w:val="22"/>
              </w:rPr>
            </w:pPr>
            <w:r>
              <w:rPr>
                <w:b/>
                <w:color w:val="auto"/>
                <w:sz w:val="22"/>
              </w:rPr>
            </w:r>
          </w:p>
        </w:tc>
        <w:tc>
          <w:tcPr>
            <w:tcW w:w="356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Nabava lampi = 9.000,00 EUR</w:t>
            </w:r>
          </w:p>
          <w:p>
            <w:pPr>
              <w:pStyle w:val="Normal"/>
              <w:widowControl w:val="false"/>
              <w:jc w:val="both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Postava lampi = 1.000,00 EUR</w:t>
            </w:r>
          </w:p>
        </w:tc>
        <w:tc>
          <w:tcPr>
            <w:tcW w:w="1753" w:type="dxa"/>
            <w:gridSpan w:val="3"/>
            <w:vMerge w:val="continue"/>
            <w:tcBorders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</w:r>
          </w:p>
        </w:tc>
        <w:tc>
          <w:tcPr>
            <w:tcW w:w="1587" w:type="dxa"/>
            <w:gridSpan w:val="2"/>
            <w:vMerge w:val="continue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1696" w:type="dxa"/>
            <w:gridSpan w:val="3"/>
            <w:vMerge w:val="continue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rPr>
                <w:b/>
                <w:b/>
                <w:color w:val="auto"/>
                <w:sz w:val="22"/>
              </w:rPr>
            </w:pPr>
            <w:r>
              <w:rPr>
                <w:b/>
                <w:color w:val="auto"/>
                <w:sz w:val="22"/>
              </w:rPr>
            </w:r>
          </w:p>
        </w:tc>
        <w:tc>
          <w:tcPr>
            <w:tcW w:w="975" w:type="dxa"/>
            <w:vMerge w:val="continue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right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</w:r>
          </w:p>
        </w:tc>
      </w:tr>
      <w:tr>
        <w:trPr/>
        <w:tc>
          <w:tcPr>
            <w:tcW w:w="581" w:type="dxa"/>
            <w:tcBorders>
              <w:right w:val="nil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</w:rPr>
              <w:t>1.2.</w:t>
            </w:r>
          </w:p>
        </w:tc>
        <w:tc>
          <w:tcPr>
            <w:tcW w:w="9574" w:type="dxa"/>
            <w:gridSpan w:val="10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auto"/>
              </w:rPr>
            </w:pPr>
            <w:r>
              <w:rPr>
                <w:b/>
                <w:color w:val="auto"/>
                <w:sz w:val="20"/>
                <w:szCs w:val="20"/>
              </w:rPr>
              <w:t>NERAZVRSTANE CESTE</w:t>
            </w:r>
          </w:p>
        </w:tc>
      </w:tr>
      <w:tr>
        <w:trPr>
          <w:trHeight w:val="618" w:hRule="atLeast"/>
        </w:trPr>
        <w:tc>
          <w:tcPr>
            <w:tcW w:w="581" w:type="dxa"/>
            <w:vMerge w:val="restart"/>
            <w:tcBorders>
              <w:top w:val="nil"/>
              <w:right w:val="nil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a)</w:t>
            </w:r>
          </w:p>
        </w:tc>
        <w:tc>
          <w:tcPr>
            <w:tcW w:w="356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Presvlačenje asfaltom i asfaltiranje nerazvrstanih cesta</w:t>
            </w:r>
          </w:p>
        </w:tc>
        <w:tc>
          <w:tcPr>
            <w:tcW w:w="1753" w:type="dxa"/>
            <w:gridSpan w:val="3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100.000,00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2.632,91</w:t>
            </w:r>
          </w:p>
        </w:tc>
        <w:tc>
          <w:tcPr>
            <w:tcW w:w="1696" w:type="dxa"/>
            <w:gridSpan w:val="3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cs="Times New Roman"/>
                <w:b w:val="false"/>
                <w:bCs w:val="false"/>
                <w:color w:val="auto"/>
                <w:sz w:val="14"/>
                <w:szCs w:val="14"/>
              </w:rPr>
              <w:t xml:space="preserve">11- Opći prihodi i primici </w:t>
            </w:r>
            <w:r>
              <w:rPr>
                <w:b w:val="false"/>
                <w:bCs w:val="false"/>
                <w:color w:val="auto"/>
                <w:sz w:val="14"/>
                <w:szCs w:val="14"/>
              </w:rPr>
              <w:t>=  20.000,00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b w:val="false"/>
                <w:bCs w:val="false"/>
                <w:color w:val="auto"/>
                <w:sz w:val="14"/>
                <w:szCs w:val="14"/>
              </w:rPr>
              <w:t xml:space="preserve">50 - </w:t>
            </w: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4"/>
                <w:szCs w:val="14"/>
                <w:u w:val="none"/>
                <w:em w:val="none"/>
              </w:rPr>
              <w:t>Pomo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4"/>
                <w:szCs w:val="14"/>
                <w:u w:val="none"/>
                <w:em w:val="none"/>
              </w:rPr>
              <w:t xml:space="preserve">ći iz državnog proračuna </w:t>
            </w:r>
            <w:r>
              <w:rPr>
                <w:b w:val="false"/>
                <w:bCs w:val="false"/>
                <w:color w:val="auto"/>
                <w:sz w:val="14"/>
                <w:szCs w:val="14"/>
              </w:rPr>
              <w:t xml:space="preserve"> = 80.000,00 eura</w:t>
            </w:r>
          </w:p>
        </w:tc>
        <w:tc>
          <w:tcPr>
            <w:tcW w:w="975" w:type="dxa"/>
            <w:vMerge w:val="restart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4213.10</w:t>
            </w:r>
          </w:p>
        </w:tc>
      </w:tr>
      <w:tr>
        <w:trPr>
          <w:trHeight w:val="794" w:hRule="atLeast"/>
        </w:trPr>
        <w:tc>
          <w:tcPr>
            <w:tcW w:w="581" w:type="dxa"/>
            <w:vMerge w:val="continue"/>
            <w:tcBorders>
              <w:top w:val="nil"/>
              <w:right w:val="nil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</w:r>
          </w:p>
        </w:tc>
        <w:tc>
          <w:tcPr>
            <w:tcW w:w="3563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Troškovnik = 1.000,00 EUR</w:t>
            </w:r>
          </w:p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bookmarkStart w:id="1" w:name="__DdeLink__638_844974037"/>
            <w:r>
              <w:rPr>
                <w:color w:val="auto"/>
                <w:sz w:val="20"/>
                <w:szCs w:val="20"/>
              </w:rPr>
              <w:t>Izvođenje radova = 96.000,00 EUR</w:t>
            </w:r>
            <w:bookmarkEnd w:id="1"/>
          </w:p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Nadzor = 3.000,00 EUR</w:t>
            </w:r>
          </w:p>
        </w:tc>
        <w:tc>
          <w:tcPr>
            <w:tcW w:w="1753" w:type="dxa"/>
            <w:gridSpan w:val="3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1587" w:type="dxa"/>
            <w:gridSpan w:val="2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1696" w:type="dxa"/>
            <w:gridSpan w:val="3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 w:val="false"/>
                <w:bCs w:val="false"/>
                <w:color w:val="auto"/>
                <w:sz w:val="14"/>
                <w:szCs w:val="14"/>
              </w:rPr>
            </w:pPr>
            <w:r>
              <w:rPr>
                <w:b w:val="false"/>
                <w:bCs w:val="false"/>
                <w:color w:val="auto"/>
                <w:sz w:val="14"/>
                <w:szCs w:val="14"/>
              </w:rPr>
            </w:r>
          </w:p>
        </w:tc>
        <w:tc>
          <w:tcPr>
            <w:tcW w:w="975" w:type="dxa"/>
            <w:vMerge w:val="continue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581" w:type="dxa"/>
            <w:vMerge w:val="restart"/>
            <w:tcBorders>
              <w:top w:val="nil"/>
              <w:right w:val="nil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b)</w:t>
            </w:r>
          </w:p>
        </w:tc>
        <w:tc>
          <w:tcPr>
            <w:tcW w:w="3563" w:type="dxa"/>
            <w:tcBorders>
              <w:top w:val="nil"/>
              <w:right w:val="nil"/>
            </w:tcBorders>
            <w:shd w:color="auto" w:fill="EEEEEE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C9211E"/>
                <w:highlight w:val="yellow"/>
              </w:rPr>
            </w:pPr>
            <w:bookmarkStart w:id="2" w:name="__DdeLink__840_2243921593"/>
            <w:r>
              <w:rPr>
                <w:color w:val="auto"/>
                <w:sz w:val="20"/>
                <w:szCs w:val="20"/>
              </w:rPr>
              <w:t>Rekonstrukcija postojeće nerazvrstane ceste M -Mihovljan – Večkovići - Kovačići – građevina infrastrukturne namjene 2. skupine</w:t>
            </w:r>
            <w:bookmarkEnd w:id="2"/>
          </w:p>
        </w:tc>
        <w:tc>
          <w:tcPr>
            <w:tcW w:w="1753" w:type="dxa"/>
            <w:gridSpan w:val="3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870.000,00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605.177,14</w:t>
            </w:r>
          </w:p>
        </w:tc>
        <w:tc>
          <w:tcPr>
            <w:tcW w:w="1696" w:type="dxa"/>
            <w:gridSpan w:val="3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Default"/>
              <w:widowControl w:val="false"/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b w:val="false"/>
                <w:bCs w:val="false"/>
                <w:color w:val="auto"/>
                <w:sz w:val="14"/>
                <w:szCs w:val="14"/>
              </w:rPr>
              <w:t xml:space="preserve">581 - </w:t>
            </w: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4"/>
                <w:szCs w:val="14"/>
                <w:u w:val="none"/>
                <w:em w:val="none"/>
              </w:rPr>
              <w:t>Mehanizam za oporavak i otpornost - bespovratna sredstva</w:t>
            </w:r>
          </w:p>
          <w:p>
            <w:pPr>
              <w:pStyle w:val="Default"/>
              <w:widowControl w:val="false"/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b w:val="false"/>
                <w:bCs w:val="false"/>
                <w:color w:val="auto"/>
                <w:sz w:val="14"/>
                <w:szCs w:val="14"/>
              </w:rPr>
              <w:t xml:space="preserve"> </w:t>
            </w:r>
            <w:r>
              <w:rPr>
                <w:b w:val="false"/>
                <w:bCs w:val="false"/>
                <w:color w:val="auto"/>
                <w:sz w:val="14"/>
                <w:szCs w:val="14"/>
              </w:rPr>
              <w:t xml:space="preserve">= </w:t>
            </w:r>
            <w:r>
              <w:rPr>
                <w:rFonts w:cs="Times New Roman"/>
                <w:b w:val="false"/>
                <w:bCs w:val="false"/>
                <w:color w:val="auto"/>
                <w:sz w:val="14"/>
                <w:szCs w:val="14"/>
              </w:rPr>
              <w:t>870.000,00 eura</w:t>
            </w:r>
          </w:p>
        </w:tc>
        <w:tc>
          <w:tcPr>
            <w:tcW w:w="975" w:type="dxa"/>
            <w:vMerge w:val="restart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4511.12</w:t>
            </w:r>
          </w:p>
        </w:tc>
      </w:tr>
      <w:tr>
        <w:trPr>
          <w:trHeight w:val="506" w:hRule="atLeast"/>
        </w:trPr>
        <w:tc>
          <w:tcPr>
            <w:tcW w:w="581" w:type="dxa"/>
            <w:vMerge w:val="continue"/>
            <w:tcBorders>
              <w:top w:val="nil"/>
              <w:right w:val="nil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</w:r>
          </w:p>
        </w:tc>
        <w:tc>
          <w:tcPr>
            <w:tcW w:w="3563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Troškovi se sastoje od troškova radova, troškova stručnog nadzora, troškovi upravljanja projektom, troškovi promidžbe i vidljivosti</w:t>
            </w:r>
          </w:p>
        </w:tc>
        <w:tc>
          <w:tcPr>
            <w:tcW w:w="1753" w:type="dxa"/>
            <w:gridSpan w:val="3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1587" w:type="dxa"/>
            <w:gridSpan w:val="2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1696" w:type="dxa"/>
            <w:gridSpan w:val="3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 w:val="false"/>
                <w:bCs w:val="false"/>
                <w:color w:val="auto"/>
                <w:sz w:val="14"/>
                <w:szCs w:val="14"/>
              </w:rPr>
            </w:pPr>
            <w:r>
              <w:rPr>
                <w:b w:val="false"/>
                <w:bCs w:val="false"/>
                <w:color w:val="auto"/>
                <w:sz w:val="14"/>
                <w:szCs w:val="14"/>
              </w:rPr>
            </w:r>
          </w:p>
        </w:tc>
        <w:tc>
          <w:tcPr>
            <w:tcW w:w="975" w:type="dxa"/>
            <w:vMerge w:val="continue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</w:tr>
      <w:tr>
        <w:trPr>
          <w:trHeight w:val="506" w:hRule="atLeast"/>
        </w:trPr>
        <w:tc>
          <w:tcPr>
            <w:tcW w:w="581" w:type="dxa"/>
            <w:vMerge w:val="restart"/>
            <w:tcBorders>
              <w:top w:val="nil"/>
              <w:right w:val="nil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b w:val="false"/>
                <w:b w:val="false"/>
                <w:bCs w:val="false"/>
                <w:color w:val="auto"/>
                <w:sz w:val="22"/>
              </w:rPr>
            </w:pPr>
            <w:r>
              <w:rPr>
                <w:b w:val="false"/>
                <w:bCs w:val="false"/>
                <w:color w:val="auto"/>
                <w:sz w:val="20"/>
                <w:szCs w:val="20"/>
              </w:rPr>
              <w:t>c)</w:t>
            </w:r>
          </w:p>
        </w:tc>
        <w:tc>
          <w:tcPr>
            <w:tcW w:w="3563" w:type="dxa"/>
            <w:tcBorders>
              <w:top w:val="nil"/>
              <w:right w:val="nil"/>
            </w:tcBorders>
            <w:shd w:fill="EEEEEE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Sanacija klizišta Mihovljan/Bokori</w:t>
            </w:r>
          </w:p>
        </w:tc>
        <w:tc>
          <w:tcPr>
            <w:tcW w:w="1753" w:type="dxa"/>
            <w:gridSpan w:val="3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100.000,00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96" w:type="dxa"/>
            <w:gridSpan w:val="3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cs="Times New Roman"/>
                <w:b w:val="false"/>
                <w:bCs w:val="false"/>
                <w:color w:val="auto"/>
                <w:sz w:val="14"/>
                <w:szCs w:val="14"/>
              </w:rPr>
              <w:t>11- Opći prihodi i primici</w:t>
            </w:r>
            <w:r>
              <w:rPr>
                <w:b w:val="false"/>
                <w:bCs w:val="false"/>
                <w:color w:val="auto"/>
                <w:sz w:val="14"/>
                <w:szCs w:val="14"/>
              </w:rPr>
              <w:t>=  35.000,00 eura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b w:val="false"/>
                <w:bCs w:val="false"/>
                <w:color w:val="auto"/>
                <w:sz w:val="14"/>
                <w:szCs w:val="14"/>
              </w:rPr>
              <w:t xml:space="preserve">53 - </w:t>
            </w: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4"/>
                <w:szCs w:val="14"/>
                <w:u w:val="none"/>
                <w:em w:val="none"/>
              </w:rPr>
              <w:t>Pomo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4"/>
                <w:szCs w:val="14"/>
                <w:u w:val="none"/>
                <w:em w:val="none"/>
              </w:rPr>
              <w:t>ći od izvan proračunskih korisnika</w:t>
            </w:r>
            <w:r>
              <w:rPr>
                <w:b w:val="false"/>
                <w:bCs w:val="false"/>
                <w:color w:val="auto"/>
                <w:sz w:val="14"/>
                <w:szCs w:val="14"/>
              </w:rPr>
              <w:t xml:space="preserve"> = 65.000,00 eura</w:t>
            </w:r>
          </w:p>
        </w:tc>
        <w:tc>
          <w:tcPr>
            <w:tcW w:w="975" w:type="dxa"/>
            <w:vMerge w:val="restart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0"/>
                <w:szCs w:val="20"/>
              </w:rPr>
              <w:t>4213.18</w:t>
            </w:r>
          </w:p>
        </w:tc>
      </w:tr>
      <w:tr>
        <w:trPr>
          <w:trHeight w:val="506" w:hRule="atLeast"/>
        </w:trPr>
        <w:tc>
          <w:tcPr>
            <w:tcW w:w="581" w:type="dxa"/>
            <w:vMerge w:val="continue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/>
                <w:color w:val="auto"/>
                <w:sz w:val="22"/>
              </w:rPr>
            </w:pPr>
            <w:r>
              <w:rPr>
                <w:b/>
                <w:color w:val="auto"/>
                <w:sz w:val="22"/>
              </w:rPr>
            </w:r>
          </w:p>
        </w:tc>
        <w:tc>
          <w:tcPr>
            <w:tcW w:w="3563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Troškovnik = 1.000,00 EUR</w:t>
            </w:r>
          </w:p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Izvođenje radova = 96.000,00 EUR</w:t>
            </w:r>
          </w:p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Nadzor = 3.000,00 EUR</w:t>
            </w:r>
          </w:p>
        </w:tc>
        <w:tc>
          <w:tcPr>
            <w:tcW w:w="1753" w:type="dxa"/>
            <w:gridSpan w:val="3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</w:r>
          </w:p>
        </w:tc>
        <w:tc>
          <w:tcPr>
            <w:tcW w:w="1587" w:type="dxa"/>
            <w:gridSpan w:val="2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</w:r>
          </w:p>
        </w:tc>
        <w:tc>
          <w:tcPr>
            <w:tcW w:w="1696" w:type="dxa"/>
            <w:gridSpan w:val="3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/>
                <w:color w:val="auto"/>
                <w:sz w:val="22"/>
              </w:rPr>
            </w:pPr>
            <w:r>
              <w:rPr>
                <w:b/>
                <w:color w:val="auto"/>
                <w:sz w:val="22"/>
              </w:rPr>
            </w:r>
          </w:p>
        </w:tc>
        <w:tc>
          <w:tcPr>
            <w:tcW w:w="975" w:type="dxa"/>
            <w:vMerge w:val="continue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</w:r>
          </w:p>
        </w:tc>
      </w:tr>
      <w:tr>
        <w:trPr>
          <w:trHeight w:val="312" w:hRule="atLeast"/>
        </w:trPr>
        <w:tc>
          <w:tcPr>
            <w:tcW w:w="581" w:type="dxa"/>
            <w:tcBorders>
              <w:top w:val="nil"/>
              <w:right w:val="nil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auto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1.4.</w:t>
            </w:r>
          </w:p>
        </w:tc>
        <w:tc>
          <w:tcPr>
            <w:tcW w:w="9574" w:type="dxa"/>
            <w:gridSpan w:val="10"/>
            <w:tcBorders>
              <w:top w:val="nil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auto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JAVNE POVRŠINE KOJIMA NIJE DOPUŠTEN PROMET MOTORNIM VOZILIMA</w:t>
            </w:r>
          </w:p>
        </w:tc>
      </w:tr>
      <w:tr>
        <w:trPr>
          <w:trHeight w:val="516" w:hRule="atLeast"/>
        </w:trPr>
        <w:tc>
          <w:tcPr>
            <w:tcW w:w="581" w:type="dxa"/>
            <w:vMerge w:val="restart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b w:val="false"/>
                <w:bCs w:val="false"/>
                <w:color w:val="auto"/>
                <w:sz w:val="20"/>
                <w:szCs w:val="20"/>
              </w:rPr>
              <w:t>a)</w:t>
            </w:r>
          </w:p>
        </w:tc>
        <w:tc>
          <w:tcPr>
            <w:tcW w:w="3563" w:type="dxa"/>
            <w:tcBorders>
              <w:top w:val="nil"/>
              <w:right w:val="nil"/>
            </w:tcBorders>
            <w:shd w:fill="EEEEEE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Izvedba pješačke staze uz nerazvrstanu cestu u naselju Mihovljan</w:t>
            </w:r>
          </w:p>
        </w:tc>
        <w:tc>
          <w:tcPr>
            <w:tcW w:w="1753" w:type="dxa"/>
            <w:gridSpan w:val="3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908" w:leader="none"/>
              </w:tabs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0"/>
                <w:szCs w:val="20"/>
              </w:rPr>
              <w:t>60.000,00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908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96" w:type="dxa"/>
            <w:gridSpan w:val="3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b w:val="false"/>
                <w:bCs w:val="false"/>
                <w:color w:val="auto"/>
                <w:sz w:val="14"/>
                <w:szCs w:val="14"/>
              </w:rPr>
              <w:t>52 – Ostale pomoći=33.000,00 eura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cs="Times New Roman"/>
                <w:b w:val="false"/>
                <w:bCs w:val="false"/>
                <w:color w:val="auto"/>
                <w:sz w:val="14"/>
                <w:szCs w:val="14"/>
              </w:rPr>
              <w:t>11–Opći prihodi i primici</w:t>
            </w:r>
            <w:r>
              <w:rPr>
                <w:b w:val="false"/>
                <w:bCs w:val="false"/>
                <w:color w:val="auto"/>
                <w:sz w:val="14"/>
                <w:szCs w:val="14"/>
              </w:rPr>
              <w:t>=  27.000,00 eura</w:t>
            </w:r>
          </w:p>
        </w:tc>
        <w:tc>
          <w:tcPr>
            <w:tcW w:w="975" w:type="dxa"/>
            <w:vMerge w:val="restart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auto"/>
                <w:sz w:val="22"/>
              </w:rPr>
              <w:t>4213.14</w:t>
            </w:r>
          </w:p>
        </w:tc>
      </w:tr>
      <w:tr>
        <w:trPr>
          <w:trHeight w:val="516" w:hRule="atLeast"/>
        </w:trPr>
        <w:tc>
          <w:tcPr>
            <w:tcW w:w="581" w:type="dxa"/>
            <w:vMerge w:val="continue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</w:r>
          </w:p>
        </w:tc>
        <w:tc>
          <w:tcPr>
            <w:tcW w:w="3563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highlight w:val="yellow"/>
              </w:rPr>
            </w:pPr>
            <w:r>
              <w:rPr>
                <w:color w:val="auto"/>
                <w:sz w:val="20"/>
                <w:szCs w:val="20"/>
              </w:rPr>
              <w:t>Izvođenje radova = 58.000,00 EUR</w:t>
            </w:r>
          </w:p>
          <w:p>
            <w:pPr>
              <w:pStyle w:val="Normal"/>
              <w:widowControl w:val="false"/>
              <w:jc w:val="both"/>
              <w:rPr>
                <w:highlight w:val="yellow"/>
              </w:rPr>
            </w:pPr>
            <w:r>
              <w:rPr>
                <w:color w:val="auto"/>
                <w:sz w:val="20"/>
                <w:szCs w:val="20"/>
              </w:rPr>
              <w:t>Nadzor = 2.000,00 EUR</w:t>
            </w:r>
          </w:p>
        </w:tc>
        <w:tc>
          <w:tcPr>
            <w:tcW w:w="1753" w:type="dxa"/>
            <w:gridSpan w:val="3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908" w:leader="none"/>
              </w:tabs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1587" w:type="dxa"/>
            <w:gridSpan w:val="2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908" w:leader="none"/>
              </w:tabs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1696" w:type="dxa"/>
            <w:gridSpan w:val="3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color w:val="auto"/>
                <w:sz w:val="22"/>
              </w:rPr>
            </w:pPr>
            <w:r>
              <w:rPr>
                <w:b w:val="false"/>
                <w:bCs w:val="false"/>
                <w:color w:val="auto"/>
                <w:sz w:val="22"/>
              </w:rPr>
            </w:r>
          </w:p>
        </w:tc>
        <w:tc>
          <w:tcPr>
            <w:tcW w:w="975" w:type="dxa"/>
            <w:vMerge w:val="continue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right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</w:r>
          </w:p>
        </w:tc>
      </w:tr>
      <w:tr>
        <w:trPr/>
        <w:tc>
          <w:tcPr>
            <w:tcW w:w="581" w:type="dxa"/>
            <w:tcBorders>
              <w:right w:val="nil"/>
            </w:tcBorders>
            <w:shd w:color="auto" w:fill="D9D9D9" w:themeFill="background1" w:themeFillShade="d9" w:val="clear"/>
          </w:tcPr>
          <w:p>
            <w:pPr>
              <w:pStyle w:val="Normal"/>
              <w:widowControl w:val="false"/>
              <w:jc w:val="both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</w:rPr>
              <w:t>1.5.</w:t>
            </w:r>
          </w:p>
        </w:tc>
        <w:tc>
          <w:tcPr>
            <w:tcW w:w="9574" w:type="dxa"/>
            <w:gridSpan w:val="10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</w:rPr>
              <w:t>GRAĐEVINE I UREĐAJI JAVNE NAMJENE</w:t>
            </w:r>
          </w:p>
        </w:tc>
      </w:tr>
      <w:tr>
        <w:trPr/>
        <w:tc>
          <w:tcPr>
            <w:tcW w:w="581" w:type="dxa"/>
            <w:vMerge w:val="restart"/>
            <w:tcBorders>
              <w:top w:val="nil"/>
              <w:right w:val="nil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a)</w:t>
            </w:r>
          </w:p>
        </w:tc>
        <w:tc>
          <w:tcPr>
            <w:tcW w:w="356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Rekonstrukcija i dogradnja i prenamjena postojeće zgrade u Vatrogasni dom</w:t>
            </w:r>
          </w:p>
        </w:tc>
        <w:tc>
          <w:tcPr>
            <w:tcW w:w="1753" w:type="dxa"/>
            <w:gridSpan w:val="3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1.500.000,00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191.775,88</w:t>
            </w:r>
          </w:p>
        </w:tc>
        <w:tc>
          <w:tcPr>
            <w:tcW w:w="1696" w:type="dxa"/>
            <w:gridSpan w:val="3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Default"/>
              <w:widowControl w:val="false"/>
              <w:jc w:val="both"/>
              <w:rPr>
                <w:rFonts w:cs="Times New Roman"/>
                <w:b w:val="false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</w:r>
          </w:p>
          <w:p>
            <w:pPr>
              <w:pStyle w:val="Default"/>
              <w:widowControl w:val="false"/>
              <w:jc w:val="both"/>
              <w:rPr>
                <w:rFonts w:ascii="Times New Roman" w:hAnsi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14"/>
                <w:szCs w:val="14"/>
                <w:u w:val="none"/>
                <w:em w:val="none"/>
              </w:rPr>
              <w:t>563 - Europski fond za regionalni razvoj (EFRR) =400.000,00 eura</w:t>
            </w:r>
          </w:p>
          <w:p>
            <w:pPr>
              <w:pStyle w:val="Default"/>
              <w:widowControl w:val="false"/>
              <w:jc w:val="both"/>
              <w:rPr>
                <w:rFonts w:ascii="Times New Roman" w:hAnsi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b w:val="false"/>
                <w:bCs w:val="false"/>
                <w:color w:val="auto"/>
                <w:sz w:val="14"/>
                <w:szCs w:val="14"/>
              </w:rPr>
              <w:t xml:space="preserve">81 - </w:t>
            </w:r>
            <w:r>
              <w:rPr>
                <w:rFonts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14"/>
                <w:szCs w:val="14"/>
                <w:u w:val="none"/>
                <w:em w:val="none"/>
              </w:rPr>
              <w:t>Namjenski primici od zadu</w:t>
            </w: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14"/>
                <w:szCs w:val="14"/>
                <w:u w:val="none"/>
                <w:em w:val="none"/>
              </w:rPr>
              <w:t>živanja = 1.100.000,00 eura</w:t>
            </w:r>
          </w:p>
        </w:tc>
        <w:tc>
          <w:tcPr>
            <w:tcW w:w="975" w:type="dxa"/>
            <w:vMerge w:val="restart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4511.25</w:t>
            </w:r>
          </w:p>
        </w:tc>
      </w:tr>
      <w:tr>
        <w:trPr>
          <w:trHeight w:val="506" w:hRule="atLeast"/>
        </w:trPr>
        <w:tc>
          <w:tcPr>
            <w:tcW w:w="581" w:type="dxa"/>
            <w:vMerge w:val="continue"/>
            <w:tcBorders>
              <w:top w:val="nil"/>
              <w:right w:val="nil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</w:r>
          </w:p>
        </w:tc>
        <w:tc>
          <w:tcPr>
            <w:tcW w:w="3563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Troškovi obuhvaćaju radove, stručni nadzor, vođenje projekta, troškove provođenja javne nabave</w:t>
            </w:r>
          </w:p>
        </w:tc>
        <w:tc>
          <w:tcPr>
            <w:tcW w:w="1753" w:type="dxa"/>
            <w:gridSpan w:val="3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1587" w:type="dxa"/>
            <w:gridSpan w:val="2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1696" w:type="dxa"/>
            <w:gridSpan w:val="3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color w:val="auto"/>
                <w:sz w:val="14"/>
                <w:szCs w:val="14"/>
              </w:rPr>
            </w:pPr>
            <w:r>
              <w:rPr>
                <w:b/>
                <w:color w:val="auto"/>
                <w:sz w:val="14"/>
                <w:szCs w:val="14"/>
              </w:rPr>
            </w:r>
          </w:p>
        </w:tc>
        <w:tc>
          <w:tcPr>
            <w:tcW w:w="975" w:type="dxa"/>
            <w:vMerge w:val="continue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</w:tr>
      <w:tr>
        <w:trPr>
          <w:trHeight w:val="506" w:hRule="atLeast"/>
        </w:trPr>
        <w:tc>
          <w:tcPr>
            <w:tcW w:w="581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b)</w:t>
            </w:r>
          </w:p>
        </w:tc>
        <w:tc>
          <w:tcPr>
            <w:tcW w:w="3563" w:type="dxa"/>
            <w:tcBorders>
              <w:top w:val="nil"/>
              <w:right w:val="nil"/>
            </w:tcBorders>
            <w:shd w:fill="EEEEEE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Oprema za vatrogasni dom</w:t>
            </w:r>
          </w:p>
        </w:tc>
        <w:tc>
          <w:tcPr>
            <w:tcW w:w="1753" w:type="dxa"/>
            <w:gridSpan w:val="3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100.000,00</w:t>
            </w:r>
          </w:p>
        </w:tc>
        <w:tc>
          <w:tcPr>
            <w:tcW w:w="1587" w:type="dxa"/>
            <w:gridSpan w:val="2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96" w:type="dxa"/>
            <w:gridSpan w:val="3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Default"/>
              <w:widowControl w:val="false"/>
              <w:jc w:val="both"/>
              <w:rPr>
                <w:rFonts w:ascii="Times New Roman" w:hAnsi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14"/>
                <w:szCs w:val="14"/>
                <w:u w:val="none"/>
                <w:em w:val="none"/>
              </w:rPr>
              <w:t>563 - Europski fond za regionalni razvoj (EFRR) =100.000,00 eura</w:t>
            </w:r>
          </w:p>
        </w:tc>
        <w:tc>
          <w:tcPr>
            <w:tcW w:w="975" w:type="dxa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4221.95</w:t>
            </w:r>
          </w:p>
        </w:tc>
      </w:tr>
      <w:tr>
        <w:trPr>
          <w:trHeight w:val="506" w:hRule="atLeast"/>
        </w:trPr>
        <w:tc>
          <w:tcPr>
            <w:tcW w:w="581" w:type="dxa"/>
            <w:vMerge w:val="restart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c)</w:t>
            </w:r>
          </w:p>
        </w:tc>
        <w:tc>
          <w:tcPr>
            <w:tcW w:w="3563" w:type="dxa"/>
            <w:tcBorders>
              <w:top w:val="nil"/>
              <w:right w:val="nil"/>
            </w:tcBorders>
            <w:shd w:fill="EEEEEE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Rekonstrukcija prostorija općine Mihovljan /tavanski prostor </w:t>
            </w:r>
          </w:p>
        </w:tc>
        <w:tc>
          <w:tcPr>
            <w:tcW w:w="1753" w:type="dxa"/>
            <w:gridSpan w:val="3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125.000,00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96" w:type="dxa"/>
            <w:gridSpan w:val="3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auto"/>
                <w:sz w:val="14"/>
                <w:szCs w:val="14"/>
              </w:rPr>
              <w:t xml:space="preserve">50 - 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4"/>
                <w:szCs w:val="14"/>
                <w:u w:val="none"/>
                <w:em w:val="none"/>
              </w:rPr>
              <w:t>Pomo</w:t>
            </w:r>
            <w:r>
              <w:rPr>
                <w:rFonts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4"/>
                <w:szCs w:val="14"/>
                <w:u w:val="none"/>
                <w:em w:val="none"/>
              </w:rPr>
              <w:t>ći iz državnog proračuna</w:t>
            </w:r>
            <w:r>
              <w:rPr>
                <w:rFonts w:cs="Times New Roman" w:ascii="Times New Roman" w:hAnsi="Times New Roman"/>
                <w:color w:val="auto"/>
                <w:sz w:val="14"/>
                <w:szCs w:val="14"/>
              </w:rPr>
              <w:t xml:space="preserve"> = 100.000,00 eura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cs="Times New Roman"/>
                <w:b w:val="false"/>
                <w:bCs w:val="false"/>
                <w:color w:val="auto"/>
                <w:sz w:val="14"/>
                <w:szCs w:val="14"/>
              </w:rPr>
              <w:t>11–Opći prihodi i primici=  25.000,00 eura</w:t>
            </w:r>
          </w:p>
        </w:tc>
        <w:tc>
          <w:tcPr>
            <w:tcW w:w="975" w:type="dxa"/>
            <w:vMerge w:val="restart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4511.18</w:t>
            </w:r>
          </w:p>
        </w:tc>
      </w:tr>
      <w:tr>
        <w:trPr>
          <w:trHeight w:val="506" w:hRule="atLeast"/>
        </w:trPr>
        <w:tc>
          <w:tcPr>
            <w:tcW w:w="581" w:type="dxa"/>
            <w:vMerge w:val="continue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</w:r>
          </w:p>
        </w:tc>
        <w:tc>
          <w:tcPr>
            <w:tcW w:w="3563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Troškovnik = 1.500,00 EUR</w:t>
            </w:r>
          </w:p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Izvođenje radova = 122.000,00 EUR</w:t>
            </w:r>
          </w:p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Nadzor = 1.500,00 EUR</w:t>
            </w:r>
          </w:p>
        </w:tc>
        <w:tc>
          <w:tcPr>
            <w:tcW w:w="1753" w:type="dxa"/>
            <w:gridSpan w:val="3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1587" w:type="dxa"/>
            <w:gridSpan w:val="2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1696" w:type="dxa"/>
            <w:gridSpan w:val="3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color w:val="auto"/>
                <w:sz w:val="14"/>
                <w:szCs w:val="14"/>
              </w:rPr>
            </w:pPr>
            <w:r>
              <w:rPr>
                <w:b/>
                <w:color w:val="auto"/>
                <w:sz w:val="14"/>
                <w:szCs w:val="14"/>
              </w:rPr>
            </w:r>
          </w:p>
        </w:tc>
        <w:tc>
          <w:tcPr>
            <w:tcW w:w="975" w:type="dxa"/>
            <w:vMerge w:val="continue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</w:tr>
      <w:tr>
        <w:trPr>
          <w:trHeight w:val="301" w:hRule="atLeast"/>
        </w:trPr>
        <w:tc>
          <w:tcPr>
            <w:tcW w:w="581" w:type="dxa"/>
            <w:vMerge w:val="restart"/>
            <w:tcBorders>
              <w:top w:val="nil"/>
              <w:right w:val="nil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d)</w:t>
            </w:r>
          </w:p>
        </w:tc>
        <w:tc>
          <w:tcPr>
            <w:tcW w:w="356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  <w:em w:val="none"/>
              </w:rPr>
              <w:t>Prilagođavanje prostora zgrade javne i društvene namjene (osnovnoškolska ustanova) za zgradu javne i društvene namjene (Društveni dom)</w:t>
            </w:r>
          </w:p>
        </w:tc>
        <w:tc>
          <w:tcPr>
            <w:tcW w:w="1753" w:type="dxa"/>
            <w:gridSpan w:val="3"/>
            <w:vMerge w:val="restart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1.007.000,00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425.929,34</w:t>
            </w:r>
          </w:p>
        </w:tc>
        <w:tc>
          <w:tcPr>
            <w:tcW w:w="1696" w:type="dxa"/>
            <w:gridSpan w:val="3"/>
            <w:vMerge w:val="restart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Default"/>
              <w:widowControl w:val="false"/>
              <w:jc w:val="both"/>
              <w:rPr>
                <w:rFonts w:ascii="Times New Roman" w:hAnsi="Times New Roman"/>
                <w:color w:val="auto"/>
                <w:sz w:val="14"/>
                <w:szCs w:val="14"/>
              </w:rPr>
            </w:pPr>
            <w:r>
              <w:rPr>
                <w:b w:val="false"/>
                <w:bCs w:val="false"/>
                <w:color w:val="auto"/>
                <w:sz w:val="14"/>
                <w:szCs w:val="14"/>
              </w:rPr>
              <w:t>581-</w:t>
            </w: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14"/>
                <w:szCs w:val="14"/>
                <w:u w:val="none"/>
                <w:em w:val="none"/>
              </w:rPr>
              <w:t>Mehanizam za oporavak i otpornost - bespovratna sredstva</w:t>
            </w:r>
          </w:p>
          <w:p>
            <w:pPr>
              <w:pStyle w:val="Default"/>
              <w:widowControl w:val="false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cs="Times New Roman"/>
                <w:b w:val="false"/>
                <w:bCs w:val="false"/>
                <w:color w:val="auto"/>
                <w:sz w:val="14"/>
                <w:szCs w:val="14"/>
              </w:rPr>
              <w:t xml:space="preserve"> </w:t>
            </w:r>
            <w:r>
              <w:rPr>
                <w:rFonts w:cs="Times New Roman"/>
                <w:b w:val="false"/>
                <w:bCs w:val="false"/>
                <w:color w:val="auto"/>
                <w:sz w:val="14"/>
                <w:szCs w:val="14"/>
              </w:rPr>
              <w:t>= 875.146,35 eura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auto"/>
                <w:sz w:val="14"/>
                <w:szCs w:val="14"/>
              </w:rPr>
              <w:t>11-Opći prihodi i primici=</w:t>
            </w:r>
            <w:r>
              <w:rPr>
                <w:rFonts w:cs="Times New Roman" w:ascii="Times New Roman" w:hAnsi="Times New Roman"/>
                <w:color w:val="auto"/>
                <w:sz w:val="14"/>
                <w:szCs w:val="14"/>
              </w:rPr>
              <w:t xml:space="preserve"> 131.853,65 eura</w:t>
            </w:r>
          </w:p>
        </w:tc>
        <w:tc>
          <w:tcPr>
            <w:tcW w:w="975" w:type="dxa"/>
            <w:vMerge w:val="restart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bCs/>
                <w:color w:val="auto"/>
                <w:sz w:val="20"/>
                <w:szCs w:val="20"/>
              </w:rPr>
              <w:t>4511.19</w:t>
            </w:r>
          </w:p>
        </w:tc>
      </w:tr>
      <w:tr>
        <w:trPr>
          <w:trHeight w:val="506" w:hRule="atLeast"/>
        </w:trPr>
        <w:tc>
          <w:tcPr>
            <w:tcW w:w="581" w:type="dxa"/>
            <w:vMerge w:val="continue"/>
            <w:tcBorders>
              <w:top w:val="nil"/>
              <w:right w:val="nil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Cs/>
                <w:color w:val="C9211E"/>
                <w:sz w:val="20"/>
                <w:szCs w:val="20"/>
              </w:rPr>
            </w:pPr>
            <w:r>
              <w:rPr>
                <w:bCs/>
                <w:color w:val="C9211E"/>
                <w:sz w:val="20"/>
                <w:szCs w:val="20"/>
              </w:rPr>
            </w:r>
          </w:p>
        </w:tc>
        <w:tc>
          <w:tcPr>
            <w:tcW w:w="3563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Izvođenje radova = 912.455,38 EUR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Nadzor = 15.625,00 EUR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Ostalo = 78.919,62 EUR</w:t>
            </w:r>
          </w:p>
        </w:tc>
        <w:tc>
          <w:tcPr>
            <w:tcW w:w="1753" w:type="dxa"/>
            <w:gridSpan w:val="3"/>
            <w:vMerge w:val="continue"/>
            <w:tcBorders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  <w:color w:val="C9211E"/>
                <w:sz w:val="20"/>
                <w:szCs w:val="20"/>
              </w:rPr>
            </w:pPr>
            <w:r>
              <w:rPr>
                <w:bCs/>
                <w:color w:val="C9211E"/>
                <w:sz w:val="20"/>
                <w:szCs w:val="20"/>
              </w:rPr>
            </w:r>
          </w:p>
        </w:tc>
        <w:tc>
          <w:tcPr>
            <w:tcW w:w="1587" w:type="dxa"/>
            <w:gridSpan w:val="2"/>
            <w:vMerge w:val="continue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  <w:color w:val="C9211E"/>
                <w:sz w:val="20"/>
                <w:szCs w:val="20"/>
              </w:rPr>
            </w:pPr>
            <w:r>
              <w:rPr>
                <w:bCs/>
                <w:color w:val="C9211E"/>
                <w:sz w:val="20"/>
                <w:szCs w:val="20"/>
              </w:rPr>
            </w:r>
          </w:p>
        </w:tc>
        <w:tc>
          <w:tcPr>
            <w:tcW w:w="1696" w:type="dxa"/>
            <w:gridSpan w:val="3"/>
            <w:vMerge w:val="continue"/>
            <w:tcBorders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Cs/>
                <w:color w:val="C9211E"/>
                <w:sz w:val="14"/>
                <w:szCs w:val="14"/>
              </w:rPr>
            </w:pPr>
            <w:r>
              <w:rPr>
                <w:bCs/>
                <w:color w:val="C9211E"/>
                <w:sz w:val="14"/>
                <w:szCs w:val="14"/>
              </w:rPr>
            </w:r>
          </w:p>
        </w:tc>
        <w:tc>
          <w:tcPr>
            <w:tcW w:w="975" w:type="dxa"/>
            <w:vMerge w:val="continue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</w:r>
          </w:p>
        </w:tc>
      </w:tr>
      <w:tr>
        <w:trPr>
          <w:trHeight w:val="506" w:hRule="atLeast"/>
        </w:trPr>
        <w:tc>
          <w:tcPr>
            <w:tcW w:w="581" w:type="dxa"/>
            <w:vMerge w:val="restart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e)</w:t>
            </w:r>
          </w:p>
        </w:tc>
        <w:tc>
          <w:tcPr>
            <w:tcW w:w="3563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C9211E"/>
                <w:highlight w:val="yellow"/>
              </w:rPr>
            </w:pPr>
            <w:r>
              <w:rPr>
                <w:color w:val="auto"/>
                <w:sz w:val="20"/>
                <w:szCs w:val="20"/>
              </w:rPr>
              <w:t>Razvoj zelene infrastrukture u urbanom području Općine Mihovljan (na više katastarskih čestica)</w:t>
            </w:r>
          </w:p>
        </w:tc>
        <w:tc>
          <w:tcPr>
            <w:tcW w:w="1753" w:type="dxa"/>
            <w:gridSpan w:val="3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C9211E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250.000,00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96" w:type="dxa"/>
            <w:gridSpan w:val="3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14"/>
                <w:szCs w:val="14"/>
              </w:rPr>
            </w:pPr>
            <w:r>
              <w:rPr>
                <w:bCs/>
                <w:color w:val="auto"/>
                <w:sz w:val="14"/>
                <w:szCs w:val="14"/>
              </w:rPr>
              <w:t>563-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14"/>
                <w:szCs w:val="14"/>
                <w:u w:val="none"/>
                <w:em w:val="none"/>
              </w:rPr>
              <w:t>Europski fond za regionalni razvoj (EFRR) = 200.000,00 eura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14"/>
                <w:szCs w:val="14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4"/>
                <w:szCs w:val="14"/>
                <w:u w:val="none"/>
                <w:em w:val="none"/>
              </w:rPr>
              <w:t>91-Preneseni vi</w:t>
            </w:r>
            <w:r>
              <w:rPr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4"/>
                <w:szCs w:val="14"/>
                <w:u w:val="none"/>
                <w:em w:val="none"/>
              </w:rPr>
              <w:t>šak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olor w:val="auto"/>
                <w:sz w:val="14"/>
                <w:szCs w:val="14"/>
              </w:rPr>
              <w:t>=</w:t>
            </w:r>
            <w:r>
              <w:rPr>
                <w:rFonts w:cs="Times New Roman"/>
                <w:bCs/>
                <w:i w:val="false"/>
                <w:iCs w:val="false"/>
                <w:color w:val="auto"/>
                <w:sz w:val="14"/>
                <w:szCs w:val="14"/>
              </w:rPr>
              <w:t xml:space="preserve"> 50.000,00 eura</w:t>
            </w:r>
          </w:p>
        </w:tc>
        <w:tc>
          <w:tcPr>
            <w:tcW w:w="975" w:type="dxa"/>
            <w:vMerge w:val="restart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4213.19</w:t>
            </w:r>
          </w:p>
        </w:tc>
      </w:tr>
      <w:tr>
        <w:trPr>
          <w:trHeight w:val="506" w:hRule="atLeast"/>
        </w:trPr>
        <w:tc>
          <w:tcPr>
            <w:tcW w:w="581" w:type="dxa"/>
            <w:vMerge w:val="continue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</w:r>
          </w:p>
        </w:tc>
        <w:tc>
          <w:tcPr>
            <w:tcW w:w="3563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Navedeni troškovi sastoje se od troškova radova, troškova stručnog nadzora, troškova upravljanja projektom, troškovi promidžbe i vidljivosti</w:t>
            </w:r>
          </w:p>
        </w:tc>
        <w:tc>
          <w:tcPr>
            <w:tcW w:w="1753" w:type="dxa"/>
            <w:gridSpan w:val="3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</w:r>
          </w:p>
        </w:tc>
        <w:tc>
          <w:tcPr>
            <w:tcW w:w="1587" w:type="dxa"/>
            <w:gridSpan w:val="2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</w:r>
          </w:p>
        </w:tc>
        <w:tc>
          <w:tcPr>
            <w:tcW w:w="1696" w:type="dxa"/>
            <w:gridSpan w:val="3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Cs/>
                <w:color w:val="auto"/>
                <w:sz w:val="14"/>
                <w:szCs w:val="14"/>
              </w:rPr>
            </w:pPr>
            <w:r>
              <w:rPr>
                <w:bCs/>
                <w:color w:val="auto"/>
                <w:sz w:val="14"/>
                <w:szCs w:val="14"/>
              </w:rPr>
            </w:r>
          </w:p>
        </w:tc>
        <w:tc>
          <w:tcPr>
            <w:tcW w:w="975" w:type="dxa"/>
            <w:vMerge w:val="continue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</w:r>
          </w:p>
        </w:tc>
      </w:tr>
      <w:tr>
        <w:trPr>
          <w:trHeight w:val="506" w:hRule="atLeast"/>
        </w:trPr>
        <w:tc>
          <w:tcPr>
            <w:tcW w:w="581" w:type="dxa"/>
            <w:tcBorders>
              <w:top w:val="nil"/>
              <w:right w:val="nil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 xml:space="preserve">    </w:t>
            </w:r>
            <w:r>
              <w:rPr>
                <w:bCs/>
                <w:color w:val="auto"/>
                <w:sz w:val="20"/>
                <w:szCs w:val="20"/>
              </w:rPr>
              <w:t>f)</w:t>
            </w:r>
          </w:p>
        </w:tc>
        <w:tc>
          <w:tcPr>
            <w:tcW w:w="356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auto"/>
              </w:rPr>
            </w:pPr>
            <w:r>
              <w:rPr>
                <w:bCs/>
                <w:color w:val="auto"/>
                <w:sz w:val="20"/>
                <w:szCs w:val="20"/>
              </w:rPr>
              <w:t>Multifunkcionalni kulturni i prez. centar u Mihovljanu (ishođena građevinska dozvola)</w:t>
            </w:r>
          </w:p>
        </w:tc>
        <w:tc>
          <w:tcPr>
            <w:tcW w:w="1753" w:type="dxa"/>
            <w:gridSpan w:val="3"/>
            <w:tcBorders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80.000,00</w:t>
            </w:r>
          </w:p>
        </w:tc>
        <w:tc>
          <w:tcPr>
            <w:tcW w:w="1587" w:type="dxa"/>
            <w:gridSpan w:val="2"/>
            <w:tcBorders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96" w:type="dxa"/>
            <w:gridSpan w:val="3"/>
            <w:tcBorders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auto"/>
                <w:sz w:val="14"/>
                <w:szCs w:val="14"/>
              </w:rPr>
              <w:t>50-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14"/>
                <w:szCs w:val="14"/>
                <w:u w:val="none"/>
                <w:em w:val="none"/>
              </w:rPr>
              <w:t>Pomo</w:t>
            </w:r>
            <w:r>
              <w:rPr>
                <w:rFonts w:cs="Times New Roman" w:ascii="Times New Roman" w:hAnsi="Times New Roman"/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color w:val="auto"/>
                <w:sz w:val="14"/>
                <w:szCs w:val="14"/>
                <w:u w:val="none"/>
                <w:em w:val="none"/>
              </w:rPr>
              <w:t>ći iz državnog proračuna</w:t>
            </w:r>
            <w:r>
              <w:rPr>
                <w:rFonts w:cs="Times New Roman" w:ascii="Times New Roman" w:hAnsi="Times New Roman"/>
                <w:bCs/>
                <w:color w:val="auto"/>
                <w:sz w:val="14"/>
                <w:szCs w:val="14"/>
              </w:rPr>
              <w:t xml:space="preserve"> = 80.000,00 eura</w:t>
            </w:r>
          </w:p>
        </w:tc>
        <w:tc>
          <w:tcPr>
            <w:tcW w:w="975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bCs/>
                <w:color w:val="auto"/>
                <w:sz w:val="20"/>
                <w:szCs w:val="20"/>
              </w:rPr>
              <w:t>4511.14</w:t>
            </w:r>
          </w:p>
        </w:tc>
      </w:tr>
      <w:tr>
        <w:trPr>
          <w:trHeight w:val="506" w:hRule="atLeast"/>
        </w:trPr>
        <w:tc>
          <w:tcPr>
            <w:tcW w:w="581" w:type="dxa"/>
            <w:tcBorders>
              <w:top w:val="nil"/>
              <w:right w:val="nil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g)</w:t>
            </w:r>
          </w:p>
        </w:tc>
        <w:tc>
          <w:tcPr>
            <w:tcW w:w="356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Društveni dom – prostorija u prizemlju</w:t>
            </w:r>
          </w:p>
        </w:tc>
        <w:tc>
          <w:tcPr>
            <w:tcW w:w="1753" w:type="dxa"/>
            <w:gridSpan w:val="3"/>
            <w:tcBorders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30.000,00</w:t>
            </w:r>
          </w:p>
        </w:tc>
        <w:tc>
          <w:tcPr>
            <w:tcW w:w="1587" w:type="dxa"/>
            <w:gridSpan w:val="2"/>
            <w:tcBorders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96" w:type="dxa"/>
            <w:gridSpan w:val="3"/>
            <w:tcBorders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4"/>
                <w:szCs w:val="14"/>
                <w:u w:val="none"/>
                <w:em w:val="none"/>
              </w:rPr>
              <w:t>91-Preneseni vi</w:t>
            </w:r>
            <w:r>
              <w:rPr>
                <w:rFonts w:cs="Times New Roman" w:ascii="Times New Roman" w:hAnsi="Times New Roman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4"/>
                <w:szCs w:val="14"/>
                <w:u w:val="none"/>
                <w:em w:val="none"/>
              </w:rPr>
              <w:t>šak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color w:val="auto"/>
                <w:sz w:val="14"/>
                <w:szCs w:val="14"/>
              </w:rPr>
              <w:t>=</w:t>
            </w:r>
            <w:r>
              <w:rPr>
                <w:rFonts w:cs="Times New Roman" w:ascii="Times New Roman" w:hAnsi="Times New Roman"/>
                <w:b w:val="false"/>
                <w:bCs/>
                <w:i w:val="false"/>
                <w:iCs w:val="false"/>
                <w:color w:val="auto"/>
                <w:sz w:val="14"/>
                <w:szCs w:val="14"/>
              </w:rPr>
              <w:t xml:space="preserve"> 25.000,00 eura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auto"/>
                <w:sz w:val="14"/>
                <w:szCs w:val="14"/>
              </w:rPr>
              <w:t>11-Opći prihodi i primici=</w:t>
            </w:r>
            <w:r>
              <w:rPr>
                <w:rFonts w:cs="Times New Roman" w:ascii="Times New Roman" w:hAnsi="Times New Roman"/>
                <w:color w:val="auto"/>
                <w:sz w:val="14"/>
                <w:szCs w:val="14"/>
              </w:rPr>
              <w:t xml:space="preserve"> 5.000,00 eura</w:t>
            </w:r>
          </w:p>
        </w:tc>
        <w:tc>
          <w:tcPr>
            <w:tcW w:w="975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4511.17</w:t>
            </w:r>
          </w:p>
        </w:tc>
      </w:tr>
      <w:tr>
        <w:trPr>
          <w:trHeight w:val="506" w:hRule="atLeast"/>
        </w:trPr>
        <w:tc>
          <w:tcPr>
            <w:tcW w:w="581" w:type="dxa"/>
            <w:tcBorders>
              <w:top w:val="nil"/>
              <w:right w:val="nil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 xml:space="preserve">    </w:t>
            </w:r>
            <w:r>
              <w:rPr>
                <w:bCs/>
                <w:color w:val="auto"/>
                <w:sz w:val="20"/>
                <w:szCs w:val="20"/>
              </w:rPr>
              <w:t>h)</w:t>
            </w:r>
          </w:p>
        </w:tc>
        <w:tc>
          <w:tcPr>
            <w:tcW w:w="356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Projekti</w:t>
            </w:r>
          </w:p>
        </w:tc>
        <w:tc>
          <w:tcPr>
            <w:tcW w:w="1753" w:type="dxa"/>
            <w:gridSpan w:val="3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33.000,00</w:t>
            </w:r>
          </w:p>
        </w:tc>
        <w:tc>
          <w:tcPr>
            <w:tcW w:w="1587" w:type="dxa"/>
            <w:gridSpan w:val="2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25.875,00</w:t>
            </w:r>
          </w:p>
        </w:tc>
        <w:tc>
          <w:tcPr>
            <w:tcW w:w="1696" w:type="dxa"/>
            <w:gridSpan w:val="3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4"/>
                <w:szCs w:val="14"/>
                <w:u w:val="none"/>
                <w:em w:val="none"/>
              </w:rPr>
              <w:t>91-Preneseni vi</w:t>
            </w:r>
            <w:r>
              <w:rPr>
                <w:rFonts w:cs="Times New Roman" w:ascii="Times New Roman" w:hAnsi="Times New Roman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4"/>
                <w:szCs w:val="14"/>
                <w:u w:val="none"/>
                <w:em w:val="none"/>
              </w:rPr>
              <w:t>šak</w:t>
            </w:r>
            <w:r>
              <w:rPr>
                <w:rFonts w:cs="Times New Roman" w:ascii="Times New Roman" w:hAnsi="Times New Roman"/>
                <w:b w:val="false"/>
                <w:bCs w:val="false"/>
                <w:color w:val="auto"/>
                <w:sz w:val="14"/>
                <w:szCs w:val="14"/>
              </w:rPr>
              <w:t>=3</w:t>
            </w:r>
            <w:r>
              <w:rPr>
                <w:rFonts w:cs="Times New Roman" w:ascii="Times New Roman" w:hAnsi="Times New Roman"/>
                <w:bCs/>
                <w:color w:val="auto"/>
                <w:sz w:val="14"/>
                <w:szCs w:val="14"/>
              </w:rPr>
              <w:t>3.000,00 eura</w:t>
            </w:r>
          </w:p>
        </w:tc>
        <w:tc>
          <w:tcPr>
            <w:tcW w:w="975" w:type="dxa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bCs/>
                <w:color w:val="auto"/>
                <w:sz w:val="20"/>
                <w:szCs w:val="20"/>
              </w:rPr>
              <w:t>4126.10</w:t>
            </w:r>
          </w:p>
        </w:tc>
      </w:tr>
      <w:tr>
        <w:trPr>
          <w:trHeight w:val="506" w:hRule="atLeast"/>
        </w:trPr>
        <w:tc>
          <w:tcPr>
            <w:tcW w:w="8034" w:type="dxa"/>
            <w:gridSpan w:val="8"/>
            <w:tcBorders>
              <w:top w:val="nil"/>
              <w:left w:val="nil"/>
              <w:right w:val="nil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21" w:type="dxa"/>
            <w:gridSpan w:val="3"/>
            <w:tcBorders>
              <w:top w:val="nil"/>
              <w:right w:val="nil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06" w:hRule="atLeast"/>
        </w:trPr>
        <w:tc>
          <w:tcPr>
            <w:tcW w:w="581" w:type="dxa"/>
            <w:tcBorders>
              <w:top w:val="nil"/>
              <w:right w:val="nil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i)</w:t>
            </w:r>
          </w:p>
        </w:tc>
        <w:tc>
          <w:tcPr>
            <w:tcW w:w="356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Geodezija</w:t>
            </w:r>
          </w:p>
        </w:tc>
        <w:tc>
          <w:tcPr>
            <w:tcW w:w="1753" w:type="dxa"/>
            <w:gridSpan w:val="3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17.000,00</w:t>
            </w:r>
          </w:p>
        </w:tc>
        <w:tc>
          <w:tcPr>
            <w:tcW w:w="1587" w:type="dxa"/>
            <w:gridSpan w:val="2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96" w:type="dxa"/>
            <w:gridSpan w:val="3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4"/>
                <w:szCs w:val="14"/>
                <w:u w:val="none"/>
                <w:em w:val="none"/>
              </w:rPr>
              <w:t>91-Preneseni vi</w:t>
            </w:r>
            <w:r>
              <w:rPr>
                <w:rFonts w:cs="Times New Roman" w:ascii="Times New Roman" w:hAnsi="Times New Roman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4"/>
                <w:szCs w:val="14"/>
                <w:u w:val="none"/>
                <w:em w:val="none"/>
              </w:rPr>
              <w:t>šak</w:t>
            </w:r>
            <w:r>
              <w:rPr>
                <w:rFonts w:cs="Times New Roman" w:ascii="Times New Roman" w:hAnsi="Times New Roman"/>
                <w:b w:val="false"/>
                <w:bCs w:val="false"/>
                <w:color w:val="auto"/>
                <w:sz w:val="14"/>
                <w:szCs w:val="14"/>
              </w:rPr>
              <w:t>=</w:t>
            </w:r>
            <w:r>
              <w:rPr>
                <w:rFonts w:cs="Times New Roman" w:ascii="Times New Roman" w:hAnsi="Times New Roman"/>
                <w:bCs/>
                <w:color w:val="auto"/>
                <w:sz w:val="14"/>
                <w:szCs w:val="14"/>
              </w:rPr>
              <w:t>17.000,00 eura</w:t>
            </w:r>
          </w:p>
        </w:tc>
        <w:tc>
          <w:tcPr>
            <w:tcW w:w="975" w:type="dxa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4126.14</w:t>
            </w:r>
          </w:p>
        </w:tc>
      </w:tr>
      <w:tr>
        <w:trPr>
          <w:trHeight w:val="506" w:hRule="atLeast"/>
        </w:trPr>
        <w:tc>
          <w:tcPr>
            <w:tcW w:w="581" w:type="dxa"/>
            <w:tcBorders>
              <w:top w:val="nil"/>
              <w:right w:val="nil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j)</w:t>
            </w:r>
          </w:p>
        </w:tc>
        <w:tc>
          <w:tcPr>
            <w:tcW w:w="356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Geodezija – ucrtavanje cesta</w:t>
            </w:r>
          </w:p>
        </w:tc>
        <w:tc>
          <w:tcPr>
            <w:tcW w:w="1753" w:type="dxa"/>
            <w:gridSpan w:val="3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10.000,00</w:t>
            </w:r>
          </w:p>
        </w:tc>
        <w:tc>
          <w:tcPr>
            <w:tcW w:w="1587" w:type="dxa"/>
            <w:gridSpan w:val="2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96" w:type="dxa"/>
            <w:gridSpan w:val="3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4"/>
                <w:szCs w:val="14"/>
                <w:u w:val="none"/>
                <w:em w:val="none"/>
              </w:rPr>
              <w:t>91-Preneseni vi</w:t>
            </w:r>
            <w:r>
              <w:rPr>
                <w:rFonts w:cs="Times New Roman" w:ascii="Times New Roman" w:hAnsi="Times New Roman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4"/>
                <w:szCs w:val="14"/>
                <w:u w:val="none"/>
                <w:em w:val="none"/>
              </w:rPr>
              <w:t>šak</w:t>
            </w:r>
            <w:r>
              <w:rPr>
                <w:rFonts w:cs="Times New Roman" w:ascii="Times New Roman" w:hAnsi="Times New Roman"/>
                <w:b w:val="false"/>
                <w:bCs w:val="false"/>
                <w:color w:val="auto"/>
                <w:sz w:val="14"/>
                <w:szCs w:val="14"/>
              </w:rPr>
              <w:t>=</w:t>
            </w:r>
            <w:r>
              <w:rPr>
                <w:rFonts w:cs="Times New Roman" w:ascii="Times New Roman" w:hAnsi="Times New Roman"/>
                <w:bCs/>
                <w:color w:val="auto"/>
                <w:sz w:val="14"/>
                <w:szCs w:val="14"/>
              </w:rPr>
              <w:t>10.000,00 eura</w:t>
            </w:r>
          </w:p>
        </w:tc>
        <w:tc>
          <w:tcPr>
            <w:tcW w:w="975" w:type="dxa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4126.15</w:t>
            </w:r>
          </w:p>
        </w:tc>
      </w:tr>
      <w:tr>
        <w:trPr>
          <w:trHeight w:val="506" w:hRule="atLeast"/>
        </w:trPr>
        <w:tc>
          <w:tcPr>
            <w:tcW w:w="581" w:type="dxa"/>
            <w:tcBorders>
              <w:top w:val="nil"/>
              <w:right w:val="nil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 xml:space="preserve">  </w:t>
            </w:r>
            <w:r>
              <w:rPr>
                <w:bCs/>
                <w:color w:val="auto"/>
                <w:sz w:val="20"/>
                <w:szCs w:val="20"/>
              </w:rPr>
              <w:t>l)</w:t>
            </w:r>
          </w:p>
        </w:tc>
        <w:tc>
          <w:tcPr>
            <w:tcW w:w="356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Izrada II. izmjene i dopune Prostornog plana Općine Mihovljan</w:t>
            </w:r>
          </w:p>
        </w:tc>
        <w:tc>
          <w:tcPr>
            <w:tcW w:w="1753" w:type="dxa"/>
            <w:gridSpan w:val="3"/>
            <w:tcBorders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30.000,00</w:t>
            </w:r>
          </w:p>
        </w:tc>
        <w:tc>
          <w:tcPr>
            <w:tcW w:w="1587" w:type="dxa"/>
            <w:gridSpan w:val="2"/>
            <w:tcBorders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8.887,50</w:t>
            </w:r>
          </w:p>
        </w:tc>
        <w:tc>
          <w:tcPr>
            <w:tcW w:w="1696" w:type="dxa"/>
            <w:gridSpan w:val="3"/>
            <w:tcBorders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cs="Times New Roman"/>
                <w:b w:val="false"/>
                <w:bCs w:val="false"/>
                <w:color w:val="auto"/>
                <w:sz w:val="14"/>
                <w:szCs w:val="14"/>
              </w:rPr>
              <w:t>50-</w:t>
            </w:r>
            <w:r>
              <w:rPr>
                <w:rFonts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14"/>
                <w:szCs w:val="14"/>
                <w:u w:val="none"/>
                <w:em w:val="none"/>
              </w:rPr>
              <w:t>Pomo</w:t>
            </w:r>
            <w:r>
              <w:rPr>
                <w:rFonts w:cs="Times New Roman"/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color w:val="auto"/>
                <w:sz w:val="14"/>
                <w:szCs w:val="14"/>
                <w:u w:val="none"/>
                <w:em w:val="none"/>
              </w:rPr>
              <w:t>ći iz državnog proračuna =</w:t>
            </w:r>
            <w:r>
              <w:rPr>
                <w:rFonts w:cs="Times New Roman"/>
                <w:bCs/>
                <w:color w:val="auto"/>
                <w:sz w:val="14"/>
                <w:szCs w:val="14"/>
              </w:rPr>
              <w:t>30.000,00 eura</w:t>
            </w:r>
          </w:p>
        </w:tc>
        <w:tc>
          <w:tcPr>
            <w:tcW w:w="975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4126.11</w:t>
            </w:r>
          </w:p>
        </w:tc>
      </w:tr>
      <w:tr>
        <w:trPr>
          <w:trHeight w:val="506" w:hRule="atLeast"/>
        </w:trPr>
        <w:tc>
          <w:tcPr>
            <w:tcW w:w="581" w:type="dxa"/>
            <w:tcBorders>
              <w:top w:val="nil"/>
              <w:right w:val="nil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k)</w:t>
            </w:r>
          </w:p>
        </w:tc>
        <w:tc>
          <w:tcPr>
            <w:tcW w:w="356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Digitalizacija</w:t>
            </w:r>
          </w:p>
        </w:tc>
        <w:tc>
          <w:tcPr>
            <w:tcW w:w="1753" w:type="dxa"/>
            <w:gridSpan w:val="3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50.000,00</w:t>
            </w:r>
          </w:p>
        </w:tc>
        <w:tc>
          <w:tcPr>
            <w:tcW w:w="1587" w:type="dxa"/>
            <w:gridSpan w:val="2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96" w:type="dxa"/>
            <w:gridSpan w:val="3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cs="Times New Roman"/>
                <w:b w:val="false"/>
                <w:bCs w:val="false"/>
                <w:color w:val="auto"/>
                <w:sz w:val="14"/>
                <w:szCs w:val="14"/>
              </w:rPr>
              <w:t>50-</w:t>
            </w:r>
            <w:r>
              <w:rPr>
                <w:rFonts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14"/>
                <w:szCs w:val="14"/>
                <w:u w:val="none"/>
                <w:em w:val="none"/>
              </w:rPr>
              <w:t>Pomo</w:t>
            </w:r>
            <w:r>
              <w:rPr>
                <w:rFonts w:cs="Times New Roman"/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color w:val="auto"/>
                <w:sz w:val="14"/>
                <w:szCs w:val="14"/>
                <w:u w:val="none"/>
                <w:em w:val="none"/>
              </w:rPr>
              <w:t>ći iz državnog proračuna =5</w:t>
            </w:r>
            <w:r>
              <w:rPr>
                <w:rFonts w:cs="Times New Roman"/>
                <w:bCs/>
                <w:color w:val="auto"/>
                <w:sz w:val="14"/>
                <w:szCs w:val="14"/>
              </w:rPr>
              <w:t>0.000,00 eura</w:t>
            </w:r>
          </w:p>
        </w:tc>
        <w:tc>
          <w:tcPr>
            <w:tcW w:w="975" w:type="dxa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4221.90</w:t>
            </w:r>
          </w:p>
        </w:tc>
      </w:tr>
      <w:tr>
        <w:trPr/>
        <w:tc>
          <w:tcPr>
            <w:tcW w:w="581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jc w:val="both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</w:rPr>
              <w:t>2.1.</w:t>
            </w:r>
          </w:p>
        </w:tc>
        <w:tc>
          <w:tcPr>
            <w:tcW w:w="9574" w:type="dxa"/>
            <w:gridSpan w:val="10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/>
                <w:sz w:val="22"/>
              </w:rPr>
            </w:pPr>
            <w:r>
              <w:rPr>
                <w:b/>
                <w:color w:val="auto"/>
                <w:sz w:val="22"/>
                <w:szCs w:val="22"/>
              </w:rPr>
              <w:t>GROBLJA</w:t>
            </w:r>
          </w:p>
        </w:tc>
      </w:tr>
      <w:tr>
        <w:trPr/>
        <w:tc>
          <w:tcPr>
            <w:tcW w:w="58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jc w:val="right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0"/>
                <w:szCs w:val="20"/>
              </w:rPr>
              <w:t>a)</w:t>
            </w:r>
          </w:p>
        </w:tc>
        <w:tc>
          <w:tcPr>
            <w:tcW w:w="3577" w:type="dxa"/>
            <w:gridSpan w:val="2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Mrtvačnica Mihovljan – prilazne stepenice</w:t>
            </w:r>
          </w:p>
        </w:tc>
        <w:tc>
          <w:tcPr>
            <w:tcW w:w="1738" w:type="dxa"/>
            <w:vMerge w:val="restart"/>
            <w:tcBorders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8.000,00</w:t>
            </w:r>
          </w:p>
        </w:tc>
        <w:tc>
          <w:tcPr>
            <w:tcW w:w="1587" w:type="dxa"/>
            <w:gridSpan w:val="2"/>
            <w:vMerge w:val="restart"/>
            <w:tcBorders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95" w:type="dxa"/>
            <w:gridSpan w:val="3"/>
            <w:vMerge w:val="restart"/>
            <w:tcBorders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Spacing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auto"/>
                <w:sz w:val="14"/>
                <w:szCs w:val="14"/>
              </w:rPr>
              <w:t>11-Opći prihodi i primici=</w:t>
            </w:r>
            <w:r>
              <w:rPr>
                <w:rFonts w:cs="Times New Roman" w:ascii="Times New Roman" w:hAnsi="Times New Roman"/>
                <w:bCs/>
                <w:color w:val="auto"/>
                <w:sz w:val="14"/>
                <w:szCs w:val="14"/>
              </w:rPr>
              <w:t xml:space="preserve"> 8.000,00 eura</w:t>
            </w:r>
          </w:p>
        </w:tc>
        <w:tc>
          <w:tcPr>
            <w:tcW w:w="977" w:type="dxa"/>
            <w:gridSpan w:val="2"/>
            <w:vMerge w:val="restart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4511.16</w:t>
            </w:r>
          </w:p>
        </w:tc>
      </w:tr>
      <w:tr>
        <w:trPr/>
        <w:tc>
          <w:tcPr>
            <w:tcW w:w="58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b w:val="false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b w:val="false"/>
                <w:bCs w:val="false"/>
                <w:color w:val="auto"/>
                <w:sz w:val="20"/>
                <w:szCs w:val="20"/>
              </w:rPr>
            </w:r>
          </w:p>
        </w:tc>
        <w:tc>
          <w:tcPr>
            <w:tcW w:w="357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Izvođenje radova = 6.436,14 EUR</w:t>
            </w:r>
          </w:p>
          <w:p>
            <w:pPr>
              <w:pStyle w:val="Normal"/>
              <w:widowControl w:val="false"/>
              <w:jc w:val="both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 xml:space="preserve">Stručni nadzor = 200,00 EUR </w:t>
            </w:r>
          </w:p>
        </w:tc>
        <w:tc>
          <w:tcPr>
            <w:tcW w:w="1738" w:type="dxa"/>
            <w:vMerge w:val="continue"/>
            <w:tcBorders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1587" w:type="dxa"/>
            <w:gridSpan w:val="2"/>
            <w:vMerge w:val="continue"/>
            <w:tcBorders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1695" w:type="dxa"/>
            <w:gridSpan w:val="3"/>
            <w:vMerge w:val="continue"/>
            <w:tcBorders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/>
                <w:b/>
                <w:color w:val="auto"/>
                <w:sz w:val="14"/>
                <w:szCs w:val="14"/>
              </w:rPr>
            </w:pPr>
            <w:r>
              <w:rPr>
                <w:b/>
                <w:color w:val="auto"/>
                <w:sz w:val="14"/>
                <w:szCs w:val="14"/>
              </w:rPr>
            </w:r>
          </w:p>
        </w:tc>
        <w:tc>
          <w:tcPr>
            <w:tcW w:w="977" w:type="dxa"/>
            <w:gridSpan w:val="2"/>
            <w:vMerge w:val="continue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righ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581" w:type="dxa"/>
            <w:tcBorders>
              <w:top w:val="nil"/>
            </w:tcBorders>
            <w:shd w:color="auto" w:fill="EEEEEE" w:val="clear"/>
            <w:vAlign w:val="center"/>
          </w:tcPr>
          <w:p>
            <w:pPr>
              <w:pStyle w:val="Normal"/>
              <w:widowControl w:val="false"/>
              <w:jc w:val="right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0"/>
                <w:szCs w:val="20"/>
              </w:rPr>
              <w:t>b)</w:t>
            </w:r>
          </w:p>
        </w:tc>
        <w:tc>
          <w:tcPr>
            <w:tcW w:w="3577" w:type="dxa"/>
            <w:gridSpan w:val="2"/>
            <w:tcBorders>
              <w:top w:val="nil"/>
            </w:tcBorders>
            <w:shd w:color="auto" w:fill="EEEEEE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Kapelica na Mjesnom groblju Mihovljan</w:t>
            </w:r>
          </w:p>
        </w:tc>
        <w:tc>
          <w:tcPr>
            <w:tcW w:w="1738" w:type="dxa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10.000,00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95" w:type="dxa"/>
            <w:gridSpan w:val="3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Spacing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auto"/>
                <w:sz w:val="14"/>
                <w:szCs w:val="14"/>
              </w:rPr>
              <w:t>11-Opći prihodi i primici=</w:t>
            </w:r>
            <w:r>
              <w:rPr>
                <w:rFonts w:cs="Times New Roman" w:ascii="Times New Roman" w:hAnsi="Times New Roman"/>
                <w:bCs/>
                <w:color w:val="auto"/>
                <w:sz w:val="14"/>
                <w:szCs w:val="14"/>
              </w:rPr>
              <w:t xml:space="preserve"> 10.000,00 eura</w:t>
            </w:r>
          </w:p>
        </w:tc>
        <w:tc>
          <w:tcPr>
            <w:tcW w:w="977" w:type="dxa"/>
            <w:gridSpan w:val="2"/>
            <w:vMerge w:val="restart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4511.15</w:t>
            </w:r>
          </w:p>
        </w:tc>
      </w:tr>
      <w:tr>
        <w:trPr>
          <w:trHeight w:val="779" w:hRule="atLeast"/>
        </w:trPr>
        <w:tc>
          <w:tcPr>
            <w:tcW w:w="58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b w:val="false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b w:val="false"/>
                <w:bCs w:val="false"/>
                <w:color w:val="auto"/>
                <w:sz w:val="20"/>
                <w:szCs w:val="20"/>
              </w:rPr>
            </w:r>
          </w:p>
        </w:tc>
        <w:tc>
          <w:tcPr>
            <w:tcW w:w="3577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Troškovnik = 500,00 EUR</w:t>
            </w:r>
          </w:p>
          <w:p>
            <w:pPr>
              <w:pStyle w:val="Normal"/>
              <w:widowControl w:val="false"/>
              <w:jc w:val="both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Izvođenje radova  = 9.000,00 EUR</w:t>
            </w:r>
          </w:p>
          <w:p>
            <w:pPr>
              <w:pStyle w:val="Normal"/>
              <w:widowControl w:val="false"/>
              <w:jc w:val="both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Nadzor = 500,00 EUR</w:t>
            </w:r>
          </w:p>
        </w:tc>
        <w:tc>
          <w:tcPr>
            <w:tcW w:w="1738" w:type="dxa"/>
            <w:vMerge w:val="continue"/>
            <w:tcBorders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1587" w:type="dxa"/>
            <w:gridSpan w:val="2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1695" w:type="dxa"/>
            <w:gridSpan w:val="3"/>
            <w:vMerge w:val="continue"/>
            <w:tcBorders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/>
                <w:b/>
                <w:color w:val="auto"/>
                <w:sz w:val="14"/>
                <w:szCs w:val="14"/>
              </w:rPr>
            </w:pPr>
            <w:r>
              <w:rPr>
                <w:b/>
                <w:color w:val="auto"/>
                <w:sz w:val="14"/>
                <w:szCs w:val="14"/>
              </w:rPr>
            </w:r>
          </w:p>
        </w:tc>
        <w:tc>
          <w:tcPr>
            <w:tcW w:w="977" w:type="dxa"/>
            <w:gridSpan w:val="2"/>
            <w:vMerge w:val="continue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righ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581" w:type="dxa"/>
            <w:tcBorders>
              <w:top w:val="nil"/>
            </w:tcBorders>
            <w:shd w:fill="EEEEEE" w:val="clea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b w:val="false"/>
                <w:bCs w:val="false"/>
                <w:color w:val="auto"/>
                <w:sz w:val="20"/>
                <w:szCs w:val="20"/>
              </w:rPr>
              <w:t>c)</w:t>
            </w:r>
          </w:p>
        </w:tc>
        <w:tc>
          <w:tcPr>
            <w:tcW w:w="3577" w:type="dxa"/>
            <w:gridSpan w:val="2"/>
            <w:tcBorders>
              <w:top w:val="nil"/>
            </w:tcBorders>
            <w:shd w:fill="EEEEEE" w:val="clear"/>
            <w:vAlign w:val="center"/>
          </w:tcPr>
          <w:p>
            <w:pPr>
              <w:pStyle w:val="Normal"/>
              <w:widowControl w:val="false"/>
              <w:shd w:val="clear" w:fill="EEEEEE"/>
              <w:jc w:val="both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Mrtvačnica - vrata za podrumski dio</w:t>
            </w:r>
          </w:p>
        </w:tc>
        <w:tc>
          <w:tcPr>
            <w:tcW w:w="1738" w:type="dxa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5.000,00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95" w:type="dxa"/>
            <w:gridSpan w:val="3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Spacing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auto"/>
                <w:sz w:val="14"/>
                <w:szCs w:val="14"/>
              </w:rPr>
              <w:t>11-Opći prihodi i primici=</w:t>
            </w:r>
            <w:r>
              <w:rPr>
                <w:rFonts w:cs="Times New Roman" w:ascii="Times New Roman" w:hAnsi="Times New Roman"/>
                <w:b w:val="false"/>
                <w:bCs/>
                <w:color w:val="auto"/>
                <w:sz w:val="14"/>
                <w:szCs w:val="14"/>
              </w:rPr>
              <w:t xml:space="preserve"> 5.000,00 eura</w:t>
            </w:r>
          </w:p>
        </w:tc>
        <w:tc>
          <w:tcPr>
            <w:tcW w:w="977" w:type="dxa"/>
            <w:gridSpan w:val="2"/>
            <w:vMerge w:val="restart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4221.23</w:t>
            </w:r>
          </w:p>
        </w:tc>
      </w:tr>
      <w:tr>
        <w:trPr/>
        <w:tc>
          <w:tcPr>
            <w:tcW w:w="58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right"/>
              <w:rPr>
                <w:b w:val="false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b w:val="false"/>
                <w:bCs w:val="false"/>
                <w:color w:val="auto"/>
                <w:sz w:val="20"/>
                <w:szCs w:val="20"/>
              </w:rPr>
            </w:r>
          </w:p>
        </w:tc>
        <w:tc>
          <w:tcPr>
            <w:tcW w:w="3577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Nabava i postava = 5.000,00 EUR</w:t>
            </w:r>
          </w:p>
        </w:tc>
        <w:tc>
          <w:tcPr>
            <w:tcW w:w="1738" w:type="dxa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1587" w:type="dxa"/>
            <w:gridSpan w:val="2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1695" w:type="dxa"/>
            <w:gridSpan w:val="3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auto"/>
                <w:sz w:val="14"/>
                <w:szCs w:val="14"/>
              </w:rPr>
            </w:pPr>
            <w:r>
              <w:rPr>
                <w:b w:val="false"/>
                <w:bCs w:val="false"/>
                <w:color w:val="auto"/>
                <w:sz w:val="14"/>
                <w:szCs w:val="14"/>
              </w:rPr>
            </w:r>
          </w:p>
        </w:tc>
        <w:tc>
          <w:tcPr>
            <w:tcW w:w="977" w:type="dxa"/>
            <w:gridSpan w:val="2"/>
            <w:vMerge w:val="continue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righ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581" w:type="dxa"/>
            <w:tcBorders>
              <w:top w:val="nil"/>
            </w:tcBorders>
            <w:shd w:fill="EEEEEE" w:val="clea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b w:val="false"/>
                <w:bCs w:val="false"/>
                <w:color w:val="auto"/>
                <w:sz w:val="20"/>
                <w:szCs w:val="20"/>
              </w:rPr>
              <w:t>d)</w:t>
            </w:r>
          </w:p>
        </w:tc>
        <w:tc>
          <w:tcPr>
            <w:tcW w:w="3577" w:type="dxa"/>
            <w:gridSpan w:val="2"/>
            <w:tcBorders>
              <w:top w:val="nil"/>
            </w:tcBorders>
            <w:shd w:fill="EEEEEE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Oprema za mrtvačnicu</w:t>
            </w:r>
          </w:p>
        </w:tc>
        <w:tc>
          <w:tcPr>
            <w:tcW w:w="1738" w:type="dxa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color w:val="auto"/>
                <w:sz w:val="20"/>
                <w:szCs w:val="20"/>
              </w:rPr>
              <w:t>5.000,00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95" w:type="dxa"/>
            <w:gridSpan w:val="3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Spacing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auto"/>
                <w:sz w:val="14"/>
                <w:szCs w:val="14"/>
              </w:rPr>
              <w:t>11-Opći prihodi i primici=</w:t>
            </w:r>
            <w:r>
              <w:rPr>
                <w:rFonts w:cs="Times New Roman" w:ascii="Times New Roman" w:hAnsi="Times New Roman"/>
                <w:b w:val="false"/>
                <w:bCs/>
                <w:color w:val="auto"/>
                <w:sz w:val="14"/>
                <w:szCs w:val="14"/>
              </w:rPr>
              <w:t xml:space="preserve"> 5.000,00 eura</w:t>
            </w:r>
          </w:p>
        </w:tc>
        <w:tc>
          <w:tcPr>
            <w:tcW w:w="977" w:type="dxa"/>
            <w:gridSpan w:val="2"/>
            <w:vMerge w:val="restart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4221.93</w:t>
            </w:r>
          </w:p>
        </w:tc>
      </w:tr>
      <w:tr>
        <w:trPr/>
        <w:tc>
          <w:tcPr>
            <w:tcW w:w="58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right"/>
              <w:rPr>
                <w:b w:val="false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b w:val="false"/>
                <w:bCs w:val="false"/>
                <w:color w:val="auto"/>
                <w:sz w:val="20"/>
                <w:szCs w:val="20"/>
              </w:rPr>
            </w:r>
          </w:p>
        </w:tc>
        <w:tc>
          <w:tcPr>
            <w:tcW w:w="3577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color w:val="auto"/>
                <w:sz w:val="20"/>
                <w:szCs w:val="20"/>
              </w:rPr>
              <w:t>Nabava i postava = 5.000,00 EUR</w:t>
            </w:r>
          </w:p>
        </w:tc>
        <w:tc>
          <w:tcPr>
            <w:tcW w:w="1738" w:type="dxa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1587" w:type="dxa"/>
            <w:gridSpan w:val="2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1695" w:type="dxa"/>
            <w:gridSpan w:val="3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auto"/>
                <w:sz w:val="14"/>
                <w:szCs w:val="14"/>
              </w:rPr>
            </w:pPr>
            <w:r>
              <w:rPr>
                <w:b w:val="false"/>
                <w:bCs w:val="false"/>
                <w:color w:val="auto"/>
                <w:sz w:val="14"/>
                <w:szCs w:val="14"/>
              </w:rPr>
            </w:r>
          </w:p>
        </w:tc>
        <w:tc>
          <w:tcPr>
            <w:tcW w:w="977" w:type="dxa"/>
            <w:gridSpan w:val="2"/>
            <w:vMerge w:val="continue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righ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581" w:type="dxa"/>
            <w:tcBorders>
              <w:right w:val="nil"/>
            </w:tcBorders>
            <w:shd w:fill="EEEEEE" w:val="clea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b w:val="false"/>
                <w:bCs w:val="false"/>
                <w:color w:val="auto"/>
                <w:sz w:val="20"/>
                <w:szCs w:val="20"/>
              </w:rPr>
              <w:t>e)</w:t>
            </w:r>
          </w:p>
        </w:tc>
        <w:tc>
          <w:tcPr>
            <w:tcW w:w="3577" w:type="dxa"/>
            <w:gridSpan w:val="2"/>
            <w:tcBorders>
              <w:right w:val="nil"/>
            </w:tcBorders>
            <w:shd w:fill="EEEEEE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 xml:space="preserve">Izrada betonskih okvira na Mjesnom groblju Mihovljan </w:t>
            </w:r>
          </w:p>
        </w:tc>
        <w:tc>
          <w:tcPr>
            <w:tcW w:w="1738" w:type="dxa"/>
            <w:vMerge w:val="restart"/>
            <w:tcBorders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30.000,00</w:t>
            </w:r>
          </w:p>
        </w:tc>
        <w:tc>
          <w:tcPr>
            <w:tcW w:w="1587" w:type="dxa"/>
            <w:gridSpan w:val="2"/>
            <w:vMerge w:val="restart"/>
            <w:tcBorders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95" w:type="dxa"/>
            <w:gridSpan w:val="3"/>
            <w:vMerge w:val="restart"/>
            <w:tcBorders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Spacing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auto"/>
                <w:sz w:val="14"/>
                <w:szCs w:val="14"/>
              </w:rPr>
              <w:t>11-Opći prihodi i primici=</w:t>
            </w:r>
            <w:r>
              <w:rPr>
                <w:rFonts w:cs="Times New Roman" w:ascii="Times New Roman" w:hAnsi="Times New Roman"/>
                <w:b w:val="false"/>
                <w:bCs/>
                <w:color w:val="auto"/>
                <w:sz w:val="14"/>
                <w:szCs w:val="14"/>
              </w:rPr>
              <w:t xml:space="preserve"> 30.000,00 eura</w:t>
            </w:r>
          </w:p>
        </w:tc>
        <w:tc>
          <w:tcPr>
            <w:tcW w:w="977" w:type="dxa"/>
            <w:gridSpan w:val="2"/>
            <w:vMerge w:val="restart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4214.64</w:t>
            </w:r>
          </w:p>
        </w:tc>
      </w:tr>
      <w:tr>
        <w:trPr/>
        <w:tc>
          <w:tcPr>
            <w:tcW w:w="58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jc w:val="right"/>
              <w:rPr>
                <w:b w:val="false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b w:val="false"/>
                <w:bCs w:val="false"/>
                <w:color w:val="auto"/>
                <w:sz w:val="20"/>
                <w:szCs w:val="20"/>
              </w:rPr>
            </w:r>
          </w:p>
        </w:tc>
        <w:tc>
          <w:tcPr>
            <w:tcW w:w="3577" w:type="dxa"/>
            <w:gridSpan w:val="2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Izvođenje radova = 29.000,00 EUR</w:t>
            </w:r>
          </w:p>
          <w:p>
            <w:pPr>
              <w:pStyle w:val="Normal"/>
              <w:widowControl w:val="false"/>
              <w:jc w:val="both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Nadzor = 1.000,00 EUR</w:t>
            </w:r>
          </w:p>
        </w:tc>
        <w:tc>
          <w:tcPr>
            <w:tcW w:w="1738" w:type="dxa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1587" w:type="dxa"/>
            <w:gridSpan w:val="2"/>
            <w:vMerge w:val="continue"/>
            <w:tcBorders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1695" w:type="dxa"/>
            <w:gridSpan w:val="3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left"/>
              <w:rPr>
                <w:b/>
                <w:b/>
                <w:color w:val="auto"/>
                <w:sz w:val="22"/>
              </w:rPr>
            </w:pPr>
            <w:r>
              <w:rPr>
                <w:b/>
                <w:color w:val="auto"/>
                <w:sz w:val="22"/>
              </w:rPr>
            </w:r>
          </w:p>
        </w:tc>
        <w:tc>
          <w:tcPr>
            <w:tcW w:w="977" w:type="dxa"/>
            <w:gridSpan w:val="2"/>
            <w:vMerge w:val="continue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</w:r>
          </w:p>
        </w:tc>
      </w:tr>
      <w:tr>
        <w:trPr/>
        <w:tc>
          <w:tcPr>
            <w:tcW w:w="581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jc w:val="both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</w:rPr>
              <w:t>3.1.</w:t>
            </w:r>
          </w:p>
        </w:tc>
        <w:tc>
          <w:tcPr>
            <w:tcW w:w="9574" w:type="dxa"/>
            <w:gridSpan w:val="10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rPr>
                <w:b/>
                <w:b/>
                <w:sz w:val="22"/>
              </w:rPr>
            </w:pPr>
            <w:r>
              <w:rPr>
                <w:b/>
                <w:color w:val="auto"/>
                <w:sz w:val="22"/>
                <w:szCs w:val="22"/>
              </w:rPr>
              <w:t>JAVNE ZELENE POVRŠINE</w:t>
            </w:r>
          </w:p>
        </w:tc>
      </w:tr>
      <w:tr>
        <w:trPr>
          <w:trHeight w:val="393" w:hRule="atLeast"/>
        </w:trPr>
        <w:tc>
          <w:tcPr>
            <w:tcW w:w="581" w:type="dxa"/>
            <w:tcBorders>
              <w:top w:val="nil"/>
            </w:tcBorders>
            <w:shd w:color="auto" w:fill="EEEEEE" w:val="clear"/>
            <w:vAlign w:val="center"/>
          </w:tcPr>
          <w:p>
            <w:pPr>
              <w:pStyle w:val="Normal"/>
              <w:jc w:val="right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a)</w:t>
            </w:r>
          </w:p>
        </w:tc>
        <w:tc>
          <w:tcPr>
            <w:tcW w:w="3577" w:type="dxa"/>
            <w:gridSpan w:val="2"/>
            <w:tcBorders>
              <w:top w:val="nil"/>
            </w:tcBorders>
            <w:shd w:color="auto" w:fill="EEEEEE" w:val="clear"/>
            <w:vAlign w:val="center"/>
          </w:tcPr>
          <w:p>
            <w:pPr>
              <w:pStyle w:val="Normal"/>
              <w:rPr/>
            </w:pPr>
            <w:r>
              <w:rPr>
                <w:color w:val="auto"/>
                <w:sz w:val="20"/>
                <w:szCs w:val="20"/>
              </w:rPr>
              <w:t xml:space="preserve">Dječje igralište </w:t>
            </w:r>
          </w:p>
        </w:tc>
        <w:tc>
          <w:tcPr>
            <w:tcW w:w="1738" w:type="dxa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100.000,00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95" w:type="dxa"/>
            <w:gridSpan w:val="3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auto"/>
                <w:sz w:val="14"/>
                <w:szCs w:val="14"/>
              </w:rPr>
              <w:t>11-Opći prihodi i primici=</w:t>
            </w:r>
            <w:r>
              <w:rPr>
                <w:rFonts w:cs="Times New Roman" w:ascii="Times New Roman" w:hAnsi="Times New Roman"/>
                <w:bCs/>
                <w:color w:val="auto"/>
                <w:sz w:val="14"/>
                <w:szCs w:val="14"/>
              </w:rPr>
              <w:t xml:space="preserve"> 20.000,00eura </w:t>
              <w:br/>
            </w:r>
            <w:r>
              <w:rPr>
                <w:rFonts w:cs="Times New Roman" w:ascii="Times New Roman" w:hAnsi="Times New Roman"/>
                <w:b w:val="false"/>
                <w:bCs w:val="false"/>
                <w:color w:val="auto"/>
                <w:sz w:val="14"/>
                <w:szCs w:val="14"/>
              </w:rPr>
              <w:t>50-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14"/>
                <w:szCs w:val="14"/>
                <w:u w:val="none"/>
                <w:em w:val="none"/>
              </w:rPr>
              <w:t>Pomo</w:t>
            </w:r>
            <w:r>
              <w:rPr>
                <w:rFonts w:cs="Times New Roman" w:ascii="Times New Roman" w:hAnsi="Times New Roman"/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color w:val="auto"/>
                <w:sz w:val="14"/>
                <w:szCs w:val="14"/>
                <w:u w:val="none"/>
                <w:em w:val="none"/>
              </w:rPr>
              <w:t>ći iz državnog proračuna =</w:t>
            </w:r>
            <w:r>
              <w:rPr>
                <w:rFonts w:cs="Times New Roman" w:ascii="Times New Roman" w:hAnsi="Times New Roman"/>
                <w:bCs/>
                <w:color w:val="auto"/>
                <w:sz w:val="14"/>
                <w:szCs w:val="14"/>
              </w:rPr>
              <w:t>80.000,00 eura</w:t>
            </w:r>
          </w:p>
        </w:tc>
        <w:tc>
          <w:tcPr>
            <w:tcW w:w="977" w:type="dxa"/>
            <w:gridSpan w:val="2"/>
            <w:vMerge w:val="restart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auto"/>
                <w:sz w:val="20"/>
                <w:szCs w:val="20"/>
              </w:rPr>
              <w:t>4511.26</w:t>
            </w:r>
          </w:p>
        </w:tc>
      </w:tr>
      <w:tr>
        <w:trPr>
          <w:trHeight w:val="506" w:hRule="atLeast"/>
        </w:trPr>
        <w:tc>
          <w:tcPr>
            <w:tcW w:w="58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b/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</w:r>
          </w:p>
        </w:tc>
        <w:tc>
          <w:tcPr>
            <w:tcW w:w="3577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Nabava i postava = 96.000,00 EUR</w:t>
            </w:r>
          </w:p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bookmarkStart w:id="3" w:name="__DdeLink__612_953819949"/>
            <w:r>
              <w:rPr>
                <w:color w:val="auto"/>
                <w:sz w:val="20"/>
                <w:szCs w:val="20"/>
              </w:rPr>
              <w:t>Nadzor = 4.000,00</w:t>
            </w:r>
            <w:bookmarkEnd w:id="3"/>
          </w:p>
        </w:tc>
        <w:tc>
          <w:tcPr>
            <w:tcW w:w="1738" w:type="dxa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1587" w:type="dxa"/>
            <w:gridSpan w:val="2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1695" w:type="dxa"/>
            <w:gridSpan w:val="3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color w:val="auto"/>
                <w:sz w:val="14"/>
                <w:szCs w:val="14"/>
              </w:rPr>
            </w:pPr>
            <w:r>
              <w:rPr>
                <w:b/>
                <w:color w:val="auto"/>
                <w:sz w:val="14"/>
                <w:szCs w:val="14"/>
              </w:rPr>
            </w:r>
          </w:p>
        </w:tc>
        <w:tc>
          <w:tcPr>
            <w:tcW w:w="977" w:type="dxa"/>
            <w:gridSpan w:val="2"/>
            <w:vMerge w:val="continue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righ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</w:tr>
      <w:tr>
        <w:trPr>
          <w:trHeight w:val="506" w:hRule="atLeast"/>
        </w:trPr>
        <w:tc>
          <w:tcPr>
            <w:tcW w:w="581" w:type="dxa"/>
            <w:tcBorders>
              <w:top w:val="nil"/>
            </w:tcBorders>
            <w:shd w:fill="EEEEEE" w:val="clear"/>
            <w:vAlign w:val="center"/>
          </w:tcPr>
          <w:p>
            <w:pPr>
              <w:pStyle w:val="Normal"/>
              <w:widowControl w:val="false"/>
              <w:jc w:val="right"/>
              <w:rPr>
                <w:b w:val="false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0"/>
                <w:szCs w:val="20"/>
              </w:rPr>
              <w:t>b)</w:t>
            </w:r>
          </w:p>
        </w:tc>
        <w:tc>
          <w:tcPr>
            <w:tcW w:w="3577" w:type="dxa"/>
            <w:gridSpan w:val="2"/>
            <w:tcBorders>
              <w:top w:val="nil"/>
            </w:tcBorders>
            <w:shd w:fill="EEEEEE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Zemljište za Dječje igralište u Kuzmincu</w:t>
            </w:r>
          </w:p>
        </w:tc>
        <w:tc>
          <w:tcPr>
            <w:tcW w:w="1738" w:type="dxa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b w:val="false"/>
                <w:bCs w:val="false"/>
                <w:color w:val="auto"/>
                <w:sz w:val="20"/>
                <w:szCs w:val="20"/>
              </w:rPr>
              <w:t>10.000,00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95" w:type="dxa"/>
            <w:gridSpan w:val="3"/>
            <w:vMerge w:val="restart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Spacing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auto"/>
                <w:sz w:val="14"/>
                <w:szCs w:val="14"/>
              </w:rPr>
              <w:t>11-Opći prihodi i primici= 10.000,00 eura</w:t>
            </w:r>
          </w:p>
        </w:tc>
        <w:tc>
          <w:tcPr>
            <w:tcW w:w="977" w:type="dxa"/>
            <w:gridSpan w:val="2"/>
            <w:vMerge w:val="restart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4111.96</w:t>
            </w:r>
          </w:p>
        </w:tc>
      </w:tr>
      <w:tr>
        <w:trPr>
          <w:trHeight w:val="506" w:hRule="atLeast"/>
        </w:trPr>
        <w:tc>
          <w:tcPr>
            <w:tcW w:w="58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b/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</w:r>
          </w:p>
        </w:tc>
        <w:tc>
          <w:tcPr>
            <w:tcW w:w="3577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Procjena = 600,00 eura</w:t>
              <w:br/>
              <w:t>Kupnja = 9.400,00 eura</w:t>
            </w:r>
          </w:p>
        </w:tc>
        <w:tc>
          <w:tcPr>
            <w:tcW w:w="1738" w:type="dxa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1587" w:type="dxa"/>
            <w:gridSpan w:val="2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1695" w:type="dxa"/>
            <w:gridSpan w:val="3"/>
            <w:vMerge w:val="continue"/>
            <w:tcBorders>
              <w:top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rPr>
                <w:b/>
                <w:b/>
                <w:color w:val="auto"/>
                <w:sz w:val="14"/>
                <w:szCs w:val="14"/>
              </w:rPr>
            </w:pPr>
            <w:r>
              <w:rPr>
                <w:b/>
                <w:color w:val="auto"/>
                <w:sz w:val="14"/>
                <w:szCs w:val="14"/>
              </w:rPr>
            </w:r>
          </w:p>
        </w:tc>
        <w:tc>
          <w:tcPr>
            <w:tcW w:w="977" w:type="dxa"/>
            <w:gridSpan w:val="2"/>
            <w:vMerge w:val="continue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righ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581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3577" w:type="dxa"/>
            <w:gridSpan w:val="2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jc w:val="right"/>
              <w:rPr>
                <w:b/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SVEUKUPNO:</w:t>
            </w:r>
          </w:p>
        </w:tc>
        <w:tc>
          <w:tcPr>
            <w:tcW w:w="1738" w:type="dxa"/>
            <w:tcBorders>
              <w:right w:val="nil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4.540.000,00EUR</w:t>
            </w:r>
          </w:p>
        </w:tc>
        <w:tc>
          <w:tcPr>
            <w:tcW w:w="4259" w:type="dxa"/>
            <w:gridSpan w:val="7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1.260.277,77EUR</w:t>
            </w:r>
          </w:p>
        </w:tc>
      </w:tr>
    </w:tbl>
    <w:p>
      <w:pPr>
        <w:pStyle w:val="Normal"/>
        <w:spacing w:lineRule="auto" w:line="276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pacing w:lineRule="auto" w:line="276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Članak 4.</w:t>
      </w:r>
    </w:p>
    <w:p>
      <w:pPr>
        <w:pStyle w:val="Normal"/>
        <w:spacing w:lineRule="auto" w:line="276" w:before="0" w:after="240"/>
        <w:jc w:val="both"/>
        <w:rPr/>
      </w:pPr>
      <w:r>
        <w:rPr>
          <w:sz w:val="22"/>
          <w:szCs w:val="22"/>
        </w:rPr>
        <w:tab/>
        <w:t>Sredstva potrebna za realizaciju Programa građenja komunalne infrastrukture osigurat će se iz općih poreznih prihoda, prenesenih sredstava, kapitalne potpora iz LAG-a, kapitalne potpore Hrvatskih voda, prihoda od kapitalnih potpora resornih Ministarstva,  Fondova EU i kreditnog zaduženja.</w:t>
      </w:r>
    </w:p>
    <w:p>
      <w:pPr>
        <w:pStyle w:val="Normal"/>
        <w:jc w:val="center"/>
        <w:rPr/>
      </w:pPr>
      <w:r>
        <w:rPr>
          <w:b/>
          <w:sz w:val="22"/>
          <w:szCs w:val="22"/>
        </w:rPr>
        <w:t>Članak 5.</w:t>
      </w:r>
    </w:p>
    <w:p>
      <w:pPr>
        <w:pStyle w:val="Normal"/>
        <w:ind w:firstLine="709"/>
        <w:jc w:val="both"/>
        <w:rPr/>
      </w:pPr>
      <w:r>
        <w:rPr>
          <w:sz w:val="22"/>
          <w:szCs w:val="22"/>
        </w:rPr>
        <w:t>Svi radovi na objektima i uređajima komunalne infrastrukture izvoditi će se prema prioritetima koje utvrdi Općinski načelnik.</w:t>
      </w:r>
    </w:p>
    <w:p>
      <w:pPr>
        <w:pStyle w:val="Normal"/>
        <w:ind w:firstLine="709"/>
        <w:jc w:val="both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Članak 6.</w:t>
      </w:r>
    </w:p>
    <w:p>
      <w:pPr>
        <w:pStyle w:val="Normal"/>
        <w:ind w:firstLine="708"/>
        <w:jc w:val="both"/>
        <w:rPr/>
      </w:pPr>
      <w:r>
        <w:rPr>
          <w:color w:val="000000"/>
          <w:sz w:val="22"/>
          <w:szCs w:val="22"/>
        </w:rPr>
        <w:t>Ovo Izvršenje sastavni je dio Polugodišnjeg obračuna Proračuna Općine Mihovljan i objaviti će se u „Službenom glasniku Krapinsko-zagorske županije“.</w:t>
      </w:r>
    </w:p>
    <w:p>
      <w:pPr>
        <w:pStyle w:val="Normal"/>
        <w:ind w:left="6372" w:hanging="0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ind w:left="6372" w:hanging="0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ind w:left="6372" w:hanging="0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ind w:left="6372" w:hanging="0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ind w:left="6372" w:hanging="0"/>
        <w:rPr>
          <w:sz w:val="22"/>
          <w:szCs w:val="22"/>
        </w:rPr>
      </w:pPr>
      <w:r>
        <w:rPr>
          <w:sz w:val="22"/>
          <w:szCs w:val="22"/>
        </w:rPr>
        <w:t>Predsjednik Općinskog vijeća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ab/>
        <w:tab/>
        <w:t xml:space="preserve">   </w:t>
        <w:tab/>
        <w:tab/>
        <w:t xml:space="preserve">                </w:t>
        <w:tab/>
        <w:tab/>
        <w:tab/>
        <w:tab/>
        <w:tab/>
        <w:t xml:space="preserve">        mr. Silvestar Vučković dr.vet.med.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76"/>
        <w:jc w:val="both"/>
        <w:rPr/>
      </w:pPr>
      <w:r>
        <w:rPr/>
      </w:r>
    </w:p>
    <w:sectPr>
      <w:type w:val="nextPage"/>
      <w:pgSz w:w="11906" w:h="16838"/>
      <w:pgMar w:left="1077" w:right="707" w:header="0" w:top="0" w:footer="0" w:bottom="142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Arial Narrow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  <w:sz w:val="22"/>
        <w:rFonts w:cs="Times New Roman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80"/>
  <w:defaultTabStop w:val="4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hr-H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e6909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hr-HR" w:eastAsia="hr-H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baloniaChar" w:customStyle="1">
    <w:name w:val="Tekst balončića Char"/>
    <w:basedOn w:val="DefaultParagraphFont"/>
    <w:link w:val="Tekstbalonia"/>
    <w:uiPriority w:val="99"/>
    <w:semiHidden/>
    <w:qFormat/>
    <w:rsid w:val="008e6909"/>
    <w:rPr>
      <w:rFonts w:ascii="Tahoma" w:hAnsi="Tahoma" w:eastAsia="Times New Roman" w:cs="Tahoma"/>
      <w:sz w:val="16"/>
      <w:szCs w:val="16"/>
      <w:lang w:eastAsia="hr-HR"/>
    </w:rPr>
  </w:style>
  <w:style w:type="character" w:styleId="Internetskapoveznica" w:customStyle="1">
    <w:name w:val="Internetska poveznica"/>
    <w:rsid w:val="004468fd"/>
    <w:rPr>
      <w:color w:val="000080"/>
      <w:u w:val="single"/>
    </w:rPr>
  </w:style>
  <w:style w:type="character" w:styleId="ListLabel1" w:customStyle="1">
    <w:name w:val="ListLabel 1"/>
    <w:qFormat/>
    <w:rsid w:val="004468fd"/>
    <w:rPr>
      <w:rFonts w:ascii="Arial Narrow" w:hAnsi="Arial Narrow" w:cs="Segoe UI"/>
      <w:sz w:val="22"/>
    </w:rPr>
  </w:style>
  <w:style w:type="character" w:styleId="ListLabel2" w:customStyle="1">
    <w:name w:val="ListLabel 2"/>
    <w:qFormat/>
    <w:rsid w:val="004468fd"/>
    <w:rPr>
      <w:rFonts w:cs="Courier New"/>
    </w:rPr>
  </w:style>
  <w:style w:type="character" w:styleId="ListLabel3" w:customStyle="1">
    <w:name w:val="ListLabel 3"/>
    <w:qFormat/>
    <w:rsid w:val="004468fd"/>
    <w:rPr>
      <w:rFonts w:cs="Wingdings"/>
    </w:rPr>
  </w:style>
  <w:style w:type="character" w:styleId="ListLabel4" w:customStyle="1">
    <w:name w:val="ListLabel 4"/>
    <w:qFormat/>
    <w:rsid w:val="004468fd"/>
    <w:rPr>
      <w:rFonts w:cs="Symbol"/>
    </w:rPr>
  </w:style>
  <w:style w:type="character" w:styleId="ListLabel5" w:customStyle="1">
    <w:name w:val="ListLabel 5"/>
    <w:qFormat/>
    <w:rsid w:val="004468fd"/>
    <w:rPr>
      <w:rFonts w:cs="Courier New"/>
    </w:rPr>
  </w:style>
  <w:style w:type="character" w:styleId="ListLabel6" w:customStyle="1">
    <w:name w:val="ListLabel 6"/>
    <w:qFormat/>
    <w:rsid w:val="004468fd"/>
    <w:rPr>
      <w:rFonts w:cs="Wingdings"/>
    </w:rPr>
  </w:style>
  <w:style w:type="character" w:styleId="ListLabel7" w:customStyle="1">
    <w:name w:val="ListLabel 7"/>
    <w:qFormat/>
    <w:rsid w:val="004468fd"/>
    <w:rPr>
      <w:rFonts w:cs="Symbol"/>
    </w:rPr>
  </w:style>
  <w:style w:type="character" w:styleId="ListLabel8" w:customStyle="1">
    <w:name w:val="ListLabel 8"/>
    <w:qFormat/>
    <w:rsid w:val="004468fd"/>
    <w:rPr>
      <w:rFonts w:cs="Courier New"/>
    </w:rPr>
  </w:style>
  <w:style w:type="character" w:styleId="ListLabel9" w:customStyle="1">
    <w:name w:val="ListLabel 9"/>
    <w:qFormat/>
    <w:rsid w:val="004468fd"/>
    <w:rPr>
      <w:rFonts w:cs="Wingdings"/>
    </w:rPr>
  </w:style>
  <w:style w:type="character" w:styleId="ListLabel10" w:customStyle="1">
    <w:name w:val="ListLabel 10"/>
    <w:qFormat/>
    <w:rsid w:val="004468fd"/>
    <w:rPr>
      <w:rFonts w:ascii="Arial Narrow" w:hAnsi="Arial Narrow" w:cs="Tahoma"/>
      <w:color w:val="0000FF" w:themeColor="hyperlink"/>
      <w:sz w:val="20"/>
      <w:szCs w:val="20"/>
      <w:u w:val="single"/>
    </w:rPr>
  </w:style>
  <w:style w:type="character" w:styleId="ListLabel11" w:customStyle="1">
    <w:name w:val="ListLabel 11"/>
    <w:qFormat/>
    <w:rsid w:val="004468fd"/>
    <w:rPr>
      <w:rFonts w:ascii="Arial Narrow" w:hAnsi="Arial Narrow" w:cs="Segoe UI"/>
      <w:sz w:val="22"/>
    </w:rPr>
  </w:style>
  <w:style w:type="character" w:styleId="ListLabel12" w:customStyle="1">
    <w:name w:val="ListLabel 12"/>
    <w:qFormat/>
    <w:rsid w:val="004468fd"/>
    <w:rPr>
      <w:rFonts w:cs="Courier New"/>
    </w:rPr>
  </w:style>
  <w:style w:type="character" w:styleId="ListLabel13" w:customStyle="1">
    <w:name w:val="ListLabel 13"/>
    <w:qFormat/>
    <w:rsid w:val="004468fd"/>
    <w:rPr>
      <w:rFonts w:cs="Wingdings"/>
    </w:rPr>
  </w:style>
  <w:style w:type="character" w:styleId="ListLabel14" w:customStyle="1">
    <w:name w:val="ListLabel 14"/>
    <w:qFormat/>
    <w:rsid w:val="004468fd"/>
    <w:rPr>
      <w:rFonts w:cs="Symbol"/>
    </w:rPr>
  </w:style>
  <w:style w:type="character" w:styleId="ListLabel15" w:customStyle="1">
    <w:name w:val="ListLabel 15"/>
    <w:qFormat/>
    <w:rsid w:val="004468fd"/>
    <w:rPr>
      <w:rFonts w:cs="Courier New"/>
    </w:rPr>
  </w:style>
  <w:style w:type="character" w:styleId="ListLabel16" w:customStyle="1">
    <w:name w:val="ListLabel 16"/>
    <w:qFormat/>
    <w:rsid w:val="004468fd"/>
    <w:rPr>
      <w:rFonts w:cs="Wingdings"/>
    </w:rPr>
  </w:style>
  <w:style w:type="character" w:styleId="ListLabel17" w:customStyle="1">
    <w:name w:val="ListLabel 17"/>
    <w:qFormat/>
    <w:rsid w:val="004468fd"/>
    <w:rPr>
      <w:rFonts w:cs="Symbol"/>
    </w:rPr>
  </w:style>
  <w:style w:type="character" w:styleId="ListLabel18" w:customStyle="1">
    <w:name w:val="ListLabel 18"/>
    <w:qFormat/>
    <w:rsid w:val="004468fd"/>
    <w:rPr>
      <w:rFonts w:cs="Courier New"/>
    </w:rPr>
  </w:style>
  <w:style w:type="character" w:styleId="ListLabel19" w:customStyle="1">
    <w:name w:val="ListLabel 19"/>
    <w:qFormat/>
    <w:rsid w:val="004468fd"/>
    <w:rPr>
      <w:rFonts w:cs="Wingdings"/>
    </w:rPr>
  </w:style>
  <w:style w:type="character" w:styleId="ListLabel20" w:customStyle="1">
    <w:name w:val="ListLabel 20"/>
    <w:qFormat/>
    <w:rsid w:val="004468fd"/>
    <w:rPr>
      <w:rFonts w:ascii="Arial Narrow" w:hAnsi="Arial Narrow" w:cs="Tahoma"/>
      <w:color w:val="0000FF" w:themeColor="hyperlink"/>
      <w:sz w:val="20"/>
      <w:szCs w:val="20"/>
      <w:u w:val="single"/>
    </w:rPr>
  </w:style>
  <w:style w:type="character" w:styleId="ListLabel21" w:customStyle="1">
    <w:name w:val="ListLabel 21"/>
    <w:qFormat/>
    <w:rsid w:val="004468fd"/>
    <w:rPr>
      <w:rFonts w:ascii="Arial Narrow" w:hAnsi="Arial Narrow" w:cs="Segoe UI"/>
      <w:sz w:val="22"/>
    </w:rPr>
  </w:style>
  <w:style w:type="character" w:styleId="ListLabel22" w:customStyle="1">
    <w:name w:val="ListLabel 22"/>
    <w:qFormat/>
    <w:rsid w:val="004468fd"/>
    <w:rPr>
      <w:rFonts w:cs="Courier New"/>
    </w:rPr>
  </w:style>
  <w:style w:type="character" w:styleId="ListLabel23" w:customStyle="1">
    <w:name w:val="ListLabel 23"/>
    <w:qFormat/>
    <w:rsid w:val="004468fd"/>
    <w:rPr>
      <w:rFonts w:cs="Wingdings"/>
    </w:rPr>
  </w:style>
  <w:style w:type="character" w:styleId="ListLabel24" w:customStyle="1">
    <w:name w:val="ListLabel 24"/>
    <w:qFormat/>
    <w:rsid w:val="004468fd"/>
    <w:rPr>
      <w:rFonts w:cs="Symbol"/>
    </w:rPr>
  </w:style>
  <w:style w:type="character" w:styleId="ListLabel25" w:customStyle="1">
    <w:name w:val="ListLabel 25"/>
    <w:qFormat/>
    <w:rsid w:val="004468fd"/>
    <w:rPr>
      <w:rFonts w:cs="Courier New"/>
    </w:rPr>
  </w:style>
  <w:style w:type="character" w:styleId="ListLabel26" w:customStyle="1">
    <w:name w:val="ListLabel 26"/>
    <w:qFormat/>
    <w:rsid w:val="004468fd"/>
    <w:rPr>
      <w:rFonts w:cs="Wingdings"/>
    </w:rPr>
  </w:style>
  <w:style w:type="character" w:styleId="ListLabel27" w:customStyle="1">
    <w:name w:val="ListLabel 27"/>
    <w:qFormat/>
    <w:rsid w:val="004468fd"/>
    <w:rPr>
      <w:rFonts w:cs="Symbol"/>
    </w:rPr>
  </w:style>
  <w:style w:type="character" w:styleId="ListLabel28" w:customStyle="1">
    <w:name w:val="ListLabel 28"/>
    <w:qFormat/>
    <w:rsid w:val="004468fd"/>
    <w:rPr>
      <w:rFonts w:cs="Courier New"/>
    </w:rPr>
  </w:style>
  <w:style w:type="character" w:styleId="ListLabel29" w:customStyle="1">
    <w:name w:val="ListLabel 29"/>
    <w:qFormat/>
    <w:rsid w:val="004468fd"/>
    <w:rPr>
      <w:rFonts w:cs="Wingdings"/>
    </w:rPr>
  </w:style>
  <w:style w:type="character" w:styleId="ListLabel30" w:customStyle="1">
    <w:name w:val="ListLabel 30"/>
    <w:qFormat/>
    <w:rsid w:val="004468fd"/>
    <w:rPr>
      <w:rFonts w:ascii="Arial Narrow" w:hAnsi="Arial Narrow" w:cs="Tahoma"/>
      <w:color w:val="0000FF" w:themeColor="hyperlink"/>
      <w:sz w:val="20"/>
      <w:szCs w:val="20"/>
      <w:u w:val="single"/>
    </w:rPr>
  </w:style>
  <w:style w:type="character" w:styleId="ListLabel31" w:customStyle="1">
    <w:name w:val="ListLabel 31"/>
    <w:qFormat/>
    <w:rsid w:val="004468fd"/>
    <w:rPr>
      <w:rFonts w:ascii="Arial Narrow" w:hAnsi="Arial Narrow" w:cs="Segoe UI"/>
      <w:sz w:val="22"/>
    </w:rPr>
  </w:style>
  <w:style w:type="character" w:styleId="ListLabel32" w:customStyle="1">
    <w:name w:val="ListLabel 32"/>
    <w:qFormat/>
    <w:rsid w:val="004468fd"/>
    <w:rPr>
      <w:rFonts w:cs="Courier New"/>
    </w:rPr>
  </w:style>
  <w:style w:type="character" w:styleId="ListLabel33" w:customStyle="1">
    <w:name w:val="ListLabel 33"/>
    <w:qFormat/>
    <w:rsid w:val="004468fd"/>
    <w:rPr>
      <w:rFonts w:cs="Wingdings"/>
    </w:rPr>
  </w:style>
  <w:style w:type="character" w:styleId="ListLabel34" w:customStyle="1">
    <w:name w:val="ListLabel 34"/>
    <w:qFormat/>
    <w:rsid w:val="004468fd"/>
    <w:rPr>
      <w:rFonts w:cs="Symbol"/>
    </w:rPr>
  </w:style>
  <w:style w:type="character" w:styleId="ListLabel35" w:customStyle="1">
    <w:name w:val="ListLabel 35"/>
    <w:qFormat/>
    <w:rsid w:val="004468fd"/>
    <w:rPr>
      <w:rFonts w:cs="Courier New"/>
    </w:rPr>
  </w:style>
  <w:style w:type="character" w:styleId="ListLabel36" w:customStyle="1">
    <w:name w:val="ListLabel 36"/>
    <w:qFormat/>
    <w:rsid w:val="004468fd"/>
    <w:rPr>
      <w:rFonts w:cs="Wingdings"/>
    </w:rPr>
  </w:style>
  <w:style w:type="character" w:styleId="ListLabel37" w:customStyle="1">
    <w:name w:val="ListLabel 37"/>
    <w:qFormat/>
    <w:rsid w:val="004468fd"/>
    <w:rPr>
      <w:rFonts w:cs="Symbol"/>
    </w:rPr>
  </w:style>
  <w:style w:type="character" w:styleId="ListLabel38" w:customStyle="1">
    <w:name w:val="ListLabel 38"/>
    <w:qFormat/>
    <w:rsid w:val="004468fd"/>
    <w:rPr>
      <w:rFonts w:cs="Courier New"/>
    </w:rPr>
  </w:style>
  <w:style w:type="character" w:styleId="ListLabel39" w:customStyle="1">
    <w:name w:val="ListLabel 39"/>
    <w:qFormat/>
    <w:rsid w:val="004468fd"/>
    <w:rPr>
      <w:rFonts w:cs="Wingdings"/>
    </w:rPr>
  </w:style>
  <w:style w:type="character" w:styleId="ListLabel40" w:customStyle="1">
    <w:name w:val="ListLabel 40"/>
    <w:qFormat/>
    <w:rsid w:val="004468fd"/>
    <w:rPr>
      <w:rFonts w:ascii="Arial Narrow" w:hAnsi="Arial Narrow" w:cs="Tahoma"/>
      <w:color w:val="0000FF" w:themeColor="hyperlink"/>
      <w:sz w:val="20"/>
      <w:szCs w:val="20"/>
      <w:u w:val="single"/>
    </w:rPr>
  </w:style>
  <w:style w:type="character" w:styleId="ListLabel41" w:customStyle="1">
    <w:name w:val="ListLabel 41"/>
    <w:qFormat/>
    <w:rsid w:val="004468fd"/>
    <w:rPr>
      <w:rFonts w:ascii="Arial Narrow" w:hAnsi="Arial Narrow" w:cs="Segoe UI"/>
      <w:sz w:val="22"/>
    </w:rPr>
  </w:style>
  <w:style w:type="character" w:styleId="ListLabel42" w:customStyle="1">
    <w:name w:val="ListLabel 42"/>
    <w:qFormat/>
    <w:rsid w:val="004468fd"/>
    <w:rPr>
      <w:rFonts w:cs="Courier New"/>
    </w:rPr>
  </w:style>
  <w:style w:type="character" w:styleId="ListLabel43" w:customStyle="1">
    <w:name w:val="ListLabel 43"/>
    <w:qFormat/>
    <w:rsid w:val="004468fd"/>
    <w:rPr>
      <w:rFonts w:cs="Wingdings"/>
    </w:rPr>
  </w:style>
  <w:style w:type="character" w:styleId="ListLabel44" w:customStyle="1">
    <w:name w:val="ListLabel 44"/>
    <w:qFormat/>
    <w:rsid w:val="004468fd"/>
    <w:rPr>
      <w:rFonts w:cs="Symbol"/>
    </w:rPr>
  </w:style>
  <w:style w:type="character" w:styleId="ListLabel45" w:customStyle="1">
    <w:name w:val="ListLabel 45"/>
    <w:qFormat/>
    <w:rsid w:val="004468fd"/>
    <w:rPr>
      <w:rFonts w:cs="Courier New"/>
    </w:rPr>
  </w:style>
  <w:style w:type="character" w:styleId="ListLabel46" w:customStyle="1">
    <w:name w:val="ListLabel 46"/>
    <w:qFormat/>
    <w:rsid w:val="004468fd"/>
    <w:rPr>
      <w:rFonts w:cs="Wingdings"/>
    </w:rPr>
  </w:style>
  <w:style w:type="character" w:styleId="ListLabel47" w:customStyle="1">
    <w:name w:val="ListLabel 47"/>
    <w:qFormat/>
    <w:rsid w:val="004468fd"/>
    <w:rPr>
      <w:rFonts w:cs="Symbol"/>
    </w:rPr>
  </w:style>
  <w:style w:type="character" w:styleId="ListLabel48" w:customStyle="1">
    <w:name w:val="ListLabel 48"/>
    <w:qFormat/>
    <w:rsid w:val="004468fd"/>
    <w:rPr>
      <w:rFonts w:cs="Courier New"/>
    </w:rPr>
  </w:style>
  <w:style w:type="character" w:styleId="ListLabel49" w:customStyle="1">
    <w:name w:val="ListLabel 49"/>
    <w:qFormat/>
    <w:rsid w:val="004468fd"/>
    <w:rPr>
      <w:rFonts w:cs="Wingdings"/>
    </w:rPr>
  </w:style>
  <w:style w:type="character" w:styleId="ListLabel50" w:customStyle="1">
    <w:name w:val="ListLabel 50"/>
    <w:qFormat/>
    <w:rsid w:val="004468fd"/>
    <w:rPr>
      <w:rFonts w:ascii="Arial Narrow" w:hAnsi="Arial Narrow" w:cs="Tahoma"/>
      <w:color w:val="0000FF" w:themeColor="hyperlink"/>
      <w:sz w:val="20"/>
      <w:szCs w:val="20"/>
      <w:u w:val="single"/>
    </w:rPr>
  </w:style>
  <w:style w:type="character" w:styleId="ListLabel51" w:customStyle="1">
    <w:name w:val="ListLabel 51"/>
    <w:qFormat/>
    <w:rsid w:val="004468fd"/>
    <w:rPr>
      <w:rFonts w:ascii="Arial Narrow" w:hAnsi="Arial Narrow" w:cs="Segoe UI"/>
      <w:sz w:val="22"/>
    </w:rPr>
  </w:style>
  <w:style w:type="character" w:styleId="ListLabel52" w:customStyle="1">
    <w:name w:val="ListLabel 52"/>
    <w:qFormat/>
    <w:rsid w:val="004468fd"/>
    <w:rPr>
      <w:rFonts w:cs="Courier New"/>
    </w:rPr>
  </w:style>
  <w:style w:type="character" w:styleId="ListLabel53" w:customStyle="1">
    <w:name w:val="ListLabel 53"/>
    <w:qFormat/>
    <w:rsid w:val="004468fd"/>
    <w:rPr>
      <w:rFonts w:cs="Wingdings"/>
    </w:rPr>
  </w:style>
  <w:style w:type="character" w:styleId="ListLabel54" w:customStyle="1">
    <w:name w:val="ListLabel 54"/>
    <w:qFormat/>
    <w:rsid w:val="004468fd"/>
    <w:rPr>
      <w:rFonts w:cs="Symbol"/>
    </w:rPr>
  </w:style>
  <w:style w:type="character" w:styleId="ListLabel55" w:customStyle="1">
    <w:name w:val="ListLabel 55"/>
    <w:qFormat/>
    <w:rsid w:val="004468fd"/>
    <w:rPr>
      <w:rFonts w:cs="Courier New"/>
    </w:rPr>
  </w:style>
  <w:style w:type="character" w:styleId="ListLabel56" w:customStyle="1">
    <w:name w:val="ListLabel 56"/>
    <w:qFormat/>
    <w:rsid w:val="004468fd"/>
    <w:rPr>
      <w:rFonts w:cs="Wingdings"/>
    </w:rPr>
  </w:style>
  <w:style w:type="character" w:styleId="ListLabel57" w:customStyle="1">
    <w:name w:val="ListLabel 57"/>
    <w:qFormat/>
    <w:rsid w:val="004468fd"/>
    <w:rPr>
      <w:rFonts w:cs="Symbol"/>
    </w:rPr>
  </w:style>
  <w:style w:type="character" w:styleId="ListLabel58" w:customStyle="1">
    <w:name w:val="ListLabel 58"/>
    <w:qFormat/>
    <w:rsid w:val="004468fd"/>
    <w:rPr>
      <w:rFonts w:cs="Courier New"/>
    </w:rPr>
  </w:style>
  <w:style w:type="character" w:styleId="ListLabel59" w:customStyle="1">
    <w:name w:val="ListLabel 59"/>
    <w:qFormat/>
    <w:rsid w:val="004468fd"/>
    <w:rPr>
      <w:rFonts w:cs="Wingdings"/>
    </w:rPr>
  </w:style>
  <w:style w:type="character" w:styleId="ListLabel60" w:customStyle="1">
    <w:name w:val="ListLabel 60"/>
    <w:qFormat/>
    <w:rsid w:val="004468fd"/>
    <w:rPr>
      <w:rFonts w:ascii="Arial Narrow" w:hAnsi="Arial Narrow" w:cs="Tahoma"/>
      <w:color w:val="0000FF" w:themeColor="hyperlink"/>
      <w:sz w:val="20"/>
      <w:szCs w:val="20"/>
      <w:u w:val="single"/>
    </w:rPr>
  </w:style>
  <w:style w:type="character" w:styleId="ListLabel61" w:customStyle="1">
    <w:name w:val="ListLabel 61"/>
    <w:qFormat/>
    <w:rsid w:val="004468fd"/>
    <w:rPr>
      <w:rFonts w:ascii="Arial Narrow" w:hAnsi="Arial Narrow" w:cs="Segoe UI"/>
      <w:sz w:val="22"/>
    </w:rPr>
  </w:style>
  <w:style w:type="character" w:styleId="ListLabel62" w:customStyle="1">
    <w:name w:val="ListLabel 62"/>
    <w:qFormat/>
    <w:rsid w:val="004468fd"/>
    <w:rPr>
      <w:rFonts w:cs="Courier New"/>
    </w:rPr>
  </w:style>
  <w:style w:type="character" w:styleId="ListLabel63" w:customStyle="1">
    <w:name w:val="ListLabel 63"/>
    <w:qFormat/>
    <w:rsid w:val="004468fd"/>
    <w:rPr>
      <w:rFonts w:cs="Wingdings"/>
    </w:rPr>
  </w:style>
  <w:style w:type="character" w:styleId="ListLabel64" w:customStyle="1">
    <w:name w:val="ListLabel 64"/>
    <w:qFormat/>
    <w:rsid w:val="004468fd"/>
    <w:rPr>
      <w:rFonts w:cs="Symbol"/>
    </w:rPr>
  </w:style>
  <w:style w:type="character" w:styleId="ListLabel65" w:customStyle="1">
    <w:name w:val="ListLabel 65"/>
    <w:qFormat/>
    <w:rsid w:val="004468fd"/>
    <w:rPr>
      <w:rFonts w:cs="Courier New"/>
    </w:rPr>
  </w:style>
  <w:style w:type="character" w:styleId="ListLabel66" w:customStyle="1">
    <w:name w:val="ListLabel 66"/>
    <w:qFormat/>
    <w:rsid w:val="004468fd"/>
    <w:rPr>
      <w:rFonts w:cs="Wingdings"/>
    </w:rPr>
  </w:style>
  <w:style w:type="character" w:styleId="ListLabel67" w:customStyle="1">
    <w:name w:val="ListLabel 67"/>
    <w:qFormat/>
    <w:rsid w:val="004468fd"/>
    <w:rPr>
      <w:rFonts w:cs="Symbol"/>
    </w:rPr>
  </w:style>
  <w:style w:type="character" w:styleId="ListLabel68" w:customStyle="1">
    <w:name w:val="ListLabel 68"/>
    <w:qFormat/>
    <w:rsid w:val="004468fd"/>
    <w:rPr>
      <w:rFonts w:cs="Courier New"/>
    </w:rPr>
  </w:style>
  <w:style w:type="character" w:styleId="ListLabel69" w:customStyle="1">
    <w:name w:val="ListLabel 69"/>
    <w:qFormat/>
    <w:rsid w:val="004468fd"/>
    <w:rPr>
      <w:rFonts w:cs="Wingdings"/>
    </w:rPr>
  </w:style>
  <w:style w:type="character" w:styleId="ListLabel70" w:customStyle="1">
    <w:name w:val="ListLabel 70"/>
    <w:qFormat/>
    <w:rsid w:val="004468fd"/>
    <w:rPr>
      <w:rFonts w:ascii="Arial Narrow" w:hAnsi="Arial Narrow" w:cs="Tahoma"/>
      <w:color w:val="0000FF" w:themeColor="hyperlink"/>
      <w:sz w:val="20"/>
      <w:szCs w:val="20"/>
      <w:u w:val="single"/>
    </w:rPr>
  </w:style>
  <w:style w:type="character" w:styleId="ListLabel71">
    <w:name w:val="ListLabel 71"/>
    <w:qFormat/>
    <w:rPr>
      <w:rFonts w:cs="Segoe UI"/>
      <w:sz w:val="22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Wingdings"/>
    </w:rPr>
  </w:style>
  <w:style w:type="character" w:styleId="ListLabel74">
    <w:name w:val="ListLabel 74"/>
    <w:qFormat/>
    <w:rPr>
      <w:rFonts w:cs="Symbol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Wingdings"/>
    </w:rPr>
  </w:style>
  <w:style w:type="character" w:styleId="ListLabel77">
    <w:name w:val="ListLabel 77"/>
    <w:qFormat/>
    <w:rPr>
      <w:rFonts w:cs="Symbol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Wingdings"/>
    </w:rPr>
  </w:style>
  <w:style w:type="character" w:styleId="ListLabel80">
    <w:name w:val="ListLabel 80"/>
    <w:qFormat/>
    <w:rPr>
      <w:rFonts w:eastAsia="Lucida Sans Unicode" w:cs="Times New Roman"/>
      <w:sz w:val="22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Times New Roman"/>
      <w:sz w:val="22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Wingdings"/>
    </w:rPr>
  </w:style>
  <w:style w:type="character" w:styleId="ListLabel87">
    <w:name w:val="ListLabel 87"/>
    <w:qFormat/>
    <w:rPr>
      <w:rFonts w:cs="Symbol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Wingdings"/>
    </w:rPr>
  </w:style>
  <w:style w:type="character" w:styleId="ListLabel90">
    <w:name w:val="ListLabel 90"/>
    <w:qFormat/>
    <w:rPr>
      <w:rFonts w:cs="Symbol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Wingdings"/>
    </w:rPr>
  </w:style>
  <w:style w:type="character" w:styleId="ListLabel93">
    <w:name w:val="ListLabel 93"/>
    <w:qFormat/>
    <w:rPr>
      <w:rFonts w:cs="Times New Roman"/>
      <w:sz w:val="22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Wingdings"/>
    </w:rPr>
  </w:style>
  <w:style w:type="character" w:styleId="ListLabel96">
    <w:name w:val="ListLabel 96"/>
    <w:qFormat/>
    <w:rPr>
      <w:rFonts w:cs="Symbol"/>
    </w:rPr>
  </w:style>
  <w:style w:type="character" w:styleId="ListLabel97">
    <w:name w:val="ListLabel 97"/>
    <w:qFormat/>
    <w:rPr>
      <w:rFonts w:cs="Courier New"/>
    </w:rPr>
  </w:style>
  <w:style w:type="character" w:styleId="ListLabel98">
    <w:name w:val="ListLabel 98"/>
    <w:qFormat/>
    <w:rPr>
      <w:rFonts w:cs="Wingdings"/>
    </w:rPr>
  </w:style>
  <w:style w:type="character" w:styleId="ListLabel99">
    <w:name w:val="ListLabel 99"/>
    <w:qFormat/>
    <w:rPr>
      <w:rFonts w:cs="Symbol"/>
    </w:rPr>
  </w:style>
  <w:style w:type="character" w:styleId="ListLabel100">
    <w:name w:val="ListLabel 100"/>
    <w:qFormat/>
    <w:rPr>
      <w:rFonts w:cs="Courier New"/>
    </w:rPr>
  </w:style>
  <w:style w:type="character" w:styleId="ListLabel101">
    <w:name w:val="ListLabel 101"/>
    <w:qFormat/>
    <w:rPr>
      <w:rFonts w:cs="Wingdings"/>
    </w:rPr>
  </w:style>
  <w:style w:type="character" w:styleId="ListLabel102">
    <w:name w:val="ListLabel 102"/>
    <w:qFormat/>
    <w:rPr>
      <w:rFonts w:cs="Times New Roman"/>
      <w:sz w:val="22"/>
    </w:rPr>
  </w:style>
  <w:style w:type="character" w:styleId="ListLabel103">
    <w:name w:val="ListLabel 103"/>
    <w:qFormat/>
    <w:rPr>
      <w:rFonts w:cs="Courier New"/>
    </w:rPr>
  </w:style>
  <w:style w:type="character" w:styleId="ListLabel104">
    <w:name w:val="ListLabel 104"/>
    <w:qFormat/>
    <w:rPr>
      <w:rFonts w:cs="Wingdings"/>
    </w:rPr>
  </w:style>
  <w:style w:type="character" w:styleId="ListLabel105">
    <w:name w:val="ListLabel 105"/>
    <w:qFormat/>
    <w:rPr>
      <w:rFonts w:cs="Symbol"/>
    </w:rPr>
  </w:style>
  <w:style w:type="character" w:styleId="ListLabel106">
    <w:name w:val="ListLabel 106"/>
    <w:qFormat/>
    <w:rPr>
      <w:rFonts w:cs="Courier New"/>
    </w:rPr>
  </w:style>
  <w:style w:type="character" w:styleId="ListLabel107">
    <w:name w:val="ListLabel 107"/>
    <w:qFormat/>
    <w:rPr>
      <w:rFonts w:cs="Wingdings"/>
    </w:rPr>
  </w:style>
  <w:style w:type="character" w:styleId="ListLabel108">
    <w:name w:val="ListLabel 108"/>
    <w:qFormat/>
    <w:rPr>
      <w:rFonts w:cs="Symbol"/>
    </w:rPr>
  </w:style>
  <w:style w:type="character" w:styleId="ListLabel109">
    <w:name w:val="ListLabel 109"/>
    <w:qFormat/>
    <w:rPr>
      <w:rFonts w:cs="Courier New"/>
    </w:rPr>
  </w:style>
  <w:style w:type="character" w:styleId="ListLabel110">
    <w:name w:val="ListLabel 110"/>
    <w:qFormat/>
    <w:rPr>
      <w:rFonts w:cs="Wingdings"/>
    </w:rPr>
  </w:style>
  <w:style w:type="character" w:styleId="ListLabel111">
    <w:name w:val="ListLabel 111"/>
    <w:qFormat/>
    <w:rPr>
      <w:rFonts w:cs="Times New Roman"/>
      <w:sz w:val="22"/>
    </w:rPr>
  </w:style>
  <w:style w:type="character" w:styleId="ListLabel112">
    <w:name w:val="ListLabel 112"/>
    <w:qFormat/>
    <w:rPr>
      <w:rFonts w:cs="Courier New"/>
    </w:rPr>
  </w:style>
  <w:style w:type="character" w:styleId="ListLabel113">
    <w:name w:val="ListLabel 113"/>
    <w:qFormat/>
    <w:rPr>
      <w:rFonts w:cs="Wingdings"/>
    </w:rPr>
  </w:style>
  <w:style w:type="character" w:styleId="ListLabel114">
    <w:name w:val="ListLabel 114"/>
    <w:qFormat/>
    <w:rPr>
      <w:rFonts w:cs="Symbol"/>
    </w:rPr>
  </w:style>
  <w:style w:type="character" w:styleId="ListLabel115">
    <w:name w:val="ListLabel 115"/>
    <w:qFormat/>
    <w:rPr>
      <w:rFonts w:cs="Courier New"/>
    </w:rPr>
  </w:style>
  <w:style w:type="character" w:styleId="ListLabel116">
    <w:name w:val="ListLabel 116"/>
    <w:qFormat/>
    <w:rPr>
      <w:rFonts w:cs="Wingdings"/>
    </w:rPr>
  </w:style>
  <w:style w:type="character" w:styleId="ListLabel117">
    <w:name w:val="ListLabel 117"/>
    <w:qFormat/>
    <w:rPr>
      <w:rFonts w:cs="Symbol"/>
    </w:rPr>
  </w:style>
  <w:style w:type="character" w:styleId="ListLabel118">
    <w:name w:val="ListLabel 118"/>
    <w:qFormat/>
    <w:rPr>
      <w:rFonts w:cs="Courier New"/>
    </w:rPr>
  </w:style>
  <w:style w:type="character" w:styleId="ListLabel119">
    <w:name w:val="ListLabel 119"/>
    <w:qFormat/>
    <w:rPr>
      <w:rFonts w:cs="Wingdings"/>
    </w:rPr>
  </w:style>
  <w:style w:type="character" w:styleId="ListLabel120">
    <w:name w:val="ListLabel 120"/>
    <w:qFormat/>
    <w:rPr>
      <w:rFonts w:cs="Times New Roman"/>
      <w:sz w:val="22"/>
    </w:rPr>
  </w:style>
  <w:style w:type="character" w:styleId="ListLabel121">
    <w:name w:val="ListLabel 121"/>
    <w:qFormat/>
    <w:rPr>
      <w:rFonts w:cs="Courier New"/>
    </w:rPr>
  </w:style>
  <w:style w:type="character" w:styleId="ListLabel122">
    <w:name w:val="ListLabel 122"/>
    <w:qFormat/>
    <w:rPr>
      <w:rFonts w:cs="Wingdings"/>
    </w:rPr>
  </w:style>
  <w:style w:type="character" w:styleId="ListLabel123">
    <w:name w:val="ListLabel 123"/>
    <w:qFormat/>
    <w:rPr>
      <w:rFonts w:cs="Symbol"/>
    </w:rPr>
  </w:style>
  <w:style w:type="character" w:styleId="ListLabel124">
    <w:name w:val="ListLabel 124"/>
    <w:qFormat/>
    <w:rPr>
      <w:rFonts w:cs="Courier New"/>
    </w:rPr>
  </w:style>
  <w:style w:type="character" w:styleId="ListLabel125">
    <w:name w:val="ListLabel 125"/>
    <w:qFormat/>
    <w:rPr>
      <w:rFonts w:cs="Wingdings"/>
    </w:rPr>
  </w:style>
  <w:style w:type="character" w:styleId="ListLabel126">
    <w:name w:val="ListLabel 126"/>
    <w:qFormat/>
    <w:rPr>
      <w:rFonts w:cs="Symbol"/>
    </w:rPr>
  </w:style>
  <w:style w:type="character" w:styleId="ListLabel127">
    <w:name w:val="ListLabel 127"/>
    <w:qFormat/>
    <w:rPr>
      <w:rFonts w:cs="Courier New"/>
    </w:rPr>
  </w:style>
  <w:style w:type="character" w:styleId="ListLabel128">
    <w:name w:val="ListLabel 128"/>
    <w:qFormat/>
    <w:rPr>
      <w:rFonts w:cs="Wingdings"/>
    </w:rPr>
  </w:style>
  <w:style w:type="character" w:styleId="ListLabel129">
    <w:name w:val="ListLabel 129"/>
    <w:qFormat/>
    <w:rPr>
      <w:rFonts w:cs="Times New Roman"/>
      <w:sz w:val="22"/>
    </w:rPr>
  </w:style>
  <w:style w:type="character" w:styleId="ListLabel130">
    <w:name w:val="ListLabel 130"/>
    <w:qFormat/>
    <w:rPr>
      <w:rFonts w:cs="Courier New"/>
    </w:rPr>
  </w:style>
  <w:style w:type="character" w:styleId="ListLabel131">
    <w:name w:val="ListLabel 131"/>
    <w:qFormat/>
    <w:rPr>
      <w:rFonts w:cs="Wingdings"/>
    </w:rPr>
  </w:style>
  <w:style w:type="character" w:styleId="ListLabel132">
    <w:name w:val="ListLabel 132"/>
    <w:qFormat/>
    <w:rPr>
      <w:rFonts w:cs="Symbol"/>
    </w:rPr>
  </w:style>
  <w:style w:type="character" w:styleId="ListLabel133">
    <w:name w:val="ListLabel 133"/>
    <w:qFormat/>
    <w:rPr>
      <w:rFonts w:cs="Courier New"/>
    </w:rPr>
  </w:style>
  <w:style w:type="character" w:styleId="ListLabel134">
    <w:name w:val="ListLabel 134"/>
    <w:qFormat/>
    <w:rPr>
      <w:rFonts w:cs="Wingdings"/>
    </w:rPr>
  </w:style>
  <w:style w:type="character" w:styleId="ListLabel135">
    <w:name w:val="ListLabel 135"/>
    <w:qFormat/>
    <w:rPr>
      <w:rFonts w:cs="Symbol"/>
    </w:rPr>
  </w:style>
  <w:style w:type="character" w:styleId="ListLabel136">
    <w:name w:val="ListLabel 136"/>
    <w:qFormat/>
    <w:rPr>
      <w:rFonts w:cs="Courier New"/>
    </w:rPr>
  </w:style>
  <w:style w:type="character" w:styleId="ListLabel137">
    <w:name w:val="ListLabel 137"/>
    <w:qFormat/>
    <w:rPr>
      <w:rFonts w:cs="Wingdings"/>
    </w:rPr>
  </w:style>
  <w:style w:type="character" w:styleId="ListLabel138">
    <w:name w:val="ListLabel 138"/>
    <w:qFormat/>
    <w:rPr>
      <w:rFonts w:cs="Times New Roman"/>
      <w:sz w:val="22"/>
    </w:rPr>
  </w:style>
  <w:style w:type="character" w:styleId="ListLabel139">
    <w:name w:val="ListLabel 139"/>
    <w:qFormat/>
    <w:rPr>
      <w:rFonts w:cs="Courier New"/>
    </w:rPr>
  </w:style>
  <w:style w:type="character" w:styleId="ListLabel140">
    <w:name w:val="ListLabel 140"/>
    <w:qFormat/>
    <w:rPr>
      <w:rFonts w:cs="Wingdings"/>
    </w:rPr>
  </w:style>
  <w:style w:type="character" w:styleId="ListLabel141">
    <w:name w:val="ListLabel 141"/>
    <w:qFormat/>
    <w:rPr>
      <w:rFonts w:cs="Symbol"/>
    </w:rPr>
  </w:style>
  <w:style w:type="character" w:styleId="ListLabel142">
    <w:name w:val="ListLabel 142"/>
    <w:qFormat/>
    <w:rPr>
      <w:rFonts w:cs="Courier New"/>
    </w:rPr>
  </w:style>
  <w:style w:type="character" w:styleId="ListLabel143">
    <w:name w:val="ListLabel 143"/>
    <w:qFormat/>
    <w:rPr>
      <w:rFonts w:cs="Wingdings"/>
    </w:rPr>
  </w:style>
  <w:style w:type="character" w:styleId="ListLabel144">
    <w:name w:val="ListLabel 144"/>
    <w:qFormat/>
    <w:rPr>
      <w:rFonts w:cs="Symbol"/>
    </w:rPr>
  </w:style>
  <w:style w:type="character" w:styleId="ListLabel145">
    <w:name w:val="ListLabel 145"/>
    <w:qFormat/>
    <w:rPr>
      <w:rFonts w:cs="Courier New"/>
    </w:rPr>
  </w:style>
  <w:style w:type="character" w:styleId="ListLabel146">
    <w:name w:val="ListLabel 146"/>
    <w:qFormat/>
    <w:rPr>
      <w:rFonts w:cs="Wingdings"/>
    </w:rPr>
  </w:style>
  <w:style w:type="character" w:styleId="ListLabel147">
    <w:name w:val="ListLabel 147"/>
    <w:qFormat/>
    <w:rPr>
      <w:rFonts w:cs="Times New Roman"/>
      <w:sz w:val="22"/>
    </w:rPr>
  </w:style>
  <w:style w:type="character" w:styleId="ListLabel148">
    <w:name w:val="ListLabel 148"/>
    <w:qFormat/>
    <w:rPr>
      <w:rFonts w:cs="Courier New"/>
    </w:rPr>
  </w:style>
  <w:style w:type="character" w:styleId="ListLabel149">
    <w:name w:val="ListLabel 149"/>
    <w:qFormat/>
    <w:rPr>
      <w:rFonts w:cs="Wingdings"/>
    </w:rPr>
  </w:style>
  <w:style w:type="character" w:styleId="ListLabel150">
    <w:name w:val="ListLabel 150"/>
    <w:qFormat/>
    <w:rPr>
      <w:rFonts w:cs="Symbol"/>
    </w:rPr>
  </w:style>
  <w:style w:type="character" w:styleId="ListLabel151">
    <w:name w:val="ListLabel 151"/>
    <w:qFormat/>
    <w:rPr>
      <w:rFonts w:cs="Courier New"/>
    </w:rPr>
  </w:style>
  <w:style w:type="character" w:styleId="ListLabel152">
    <w:name w:val="ListLabel 152"/>
    <w:qFormat/>
    <w:rPr>
      <w:rFonts w:cs="Wingdings"/>
    </w:rPr>
  </w:style>
  <w:style w:type="character" w:styleId="ListLabel153">
    <w:name w:val="ListLabel 153"/>
    <w:qFormat/>
    <w:rPr>
      <w:rFonts w:cs="Symbol"/>
    </w:rPr>
  </w:style>
  <w:style w:type="character" w:styleId="ListLabel154">
    <w:name w:val="ListLabel 154"/>
    <w:qFormat/>
    <w:rPr>
      <w:rFonts w:cs="Courier New"/>
    </w:rPr>
  </w:style>
  <w:style w:type="character" w:styleId="ListLabel155">
    <w:name w:val="ListLabel 155"/>
    <w:qFormat/>
    <w:rPr>
      <w:rFonts w:cs="Wingdings"/>
    </w:rPr>
  </w:style>
  <w:style w:type="character" w:styleId="ListLabel156">
    <w:name w:val="ListLabel 156"/>
    <w:qFormat/>
    <w:rPr>
      <w:rFonts w:cs="Times New Roman"/>
      <w:sz w:val="22"/>
    </w:rPr>
  </w:style>
  <w:style w:type="character" w:styleId="ListLabel157">
    <w:name w:val="ListLabel 157"/>
    <w:qFormat/>
    <w:rPr>
      <w:rFonts w:cs="Courier New"/>
    </w:rPr>
  </w:style>
  <w:style w:type="character" w:styleId="ListLabel158">
    <w:name w:val="ListLabel 158"/>
    <w:qFormat/>
    <w:rPr>
      <w:rFonts w:cs="Wingdings"/>
    </w:rPr>
  </w:style>
  <w:style w:type="character" w:styleId="ListLabel159">
    <w:name w:val="ListLabel 159"/>
    <w:qFormat/>
    <w:rPr>
      <w:rFonts w:cs="Symbol"/>
    </w:rPr>
  </w:style>
  <w:style w:type="character" w:styleId="ListLabel160">
    <w:name w:val="ListLabel 160"/>
    <w:qFormat/>
    <w:rPr>
      <w:rFonts w:cs="Courier New"/>
    </w:rPr>
  </w:style>
  <w:style w:type="character" w:styleId="ListLabel161">
    <w:name w:val="ListLabel 161"/>
    <w:qFormat/>
    <w:rPr>
      <w:rFonts w:cs="Wingdings"/>
    </w:rPr>
  </w:style>
  <w:style w:type="character" w:styleId="ListLabel162">
    <w:name w:val="ListLabel 162"/>
    <w:qFormat/>
    <w:rPr>
      <w:rFonts w:cs="Symbol"/>
    </w:rPr>
  </w:style>
  <w:style w:type="character" w:styleId="ListLabel163">
    <w:name w:val="ListLabel 163"/>
    <w:qFormat/>
    <w:rPr>
      <w:rFonts w:cs="Courier New"/>
    </w:rPr>
  </w:style>
  <w:style w:type="character" w:styleId="ListLabel164">
    <w:name w:val="ListLabel 164"/>
    <w:qFormat/>
    <w:rPr>
      <w:rFonts w:cs="Wingdings"/>
    </w:rPr>
  </w:style>
  <w:style w:type="character" w:styleId="ListLabel165">
    <w:name w:val="ListLabel 165"/>
    <w:qFormat/>
    <w:rPr>
      <w:rFonts w:cs="Times New Roman"/>
      <w:sz w:val="22"/>
    </w:rPr>
  </w:style>
  <w:style w:type="character" w:styleId="ListLabel166">
    <w:name w:val="ListLabel 166"/>
    <w:qFormat/>
    <w:rPr>
      <w:rFonts w:cs="Courier New"/>
    </w:rPr>
  </w:style>
  <w:style w:type="character" w:styleId="ListLabel167">
    <w:name w:val="ListLabel 167"/>
    <w:qFormat/>
    <w:rPr>
      <w:rFonts w:cs="Wingdings"/>
    </w:rPr>
  </w:style>
  <w:style w:type="character" w:styleId="ListLabel168">
    <w:name w:val="ListLabel 168"/>
    <w:qFormat/>
    <w:rPr>
      <w:rFonts w:cs="Symbol"/>
    </w:rPr>
  </w:style>
  <w:style w:type="character" w:styleId="ListLabel169">
    <w:name w:val="ListLabel 169"/>
    <w:qFormat/>
    <w:rPr>
      <w:rFonts w:cs="Courier New"/>
    </w:rPr>
  </w:style>
  <w:style w:type="character" w:styleId="ListLabel170">
    <w:name w:val="ListLabel 170"/>
    <w:qFormat/>
    <w:rPr>
      <w:rFonts w:cs="Wingdings"/>
    </w:rPr>
  </w:style>
  <w:style w:type="character" w:styleId="ListLabel171">
    <w:name w:val="ListLabel 171"/>
    <w:qFormat/>
    <w:rPr>
      <w:rFonts w:cs="Symbol"/>
    </w:rPr>
  </w:style>
  <w:style w:type="character" w:styleId="ListLabel172">
    <w:name w:val="ListLabel 172"/>
    <w:qFormat/>
    <w:rPr>
      <w:rFonts w:cs="Courier New"/>
    </w:rPr>
  </w:style>
  <w:style w:type="character" w:styleId="ListLabel173">
    <w:name w:val="ListLabel 173"/>
    <w:qFormat/>
    <w:rPr>
      <w:rFonts w:cs="Wingdings"/>
    </w:rPr>
  </w:style>
  <w:style w:type="character" w:styleId="ListLabel174">
    <w:name w:val="ListLabel 174"/>
    <w:qFormat/>
    <w:rPr>
      <w:rFonts w:cs="Times New Roman"/>
      <w:sz w:val="22"/>
    </w:rPr>
  </w:style>
  <w:style w:type="character" w:styleId="ListLabel175">
    <w:name w:val="ListLabel 175"/>
    <w:qFormat/>
    <w:rPr>
      <w:rFonts w:cs="Courier New"/>
    </w:rPr>
  </w:style>
  <w:style w:type="character" w:styleId="ListLabel176">
    <w:name w:val="ListLabel 176"/>
    <w:qFormat/>
    <w:rPr>
      <w:rFonts w:cs="Wingdings"/>
    </w:rPr>
  </w:style>
  <w:style w:type="character" w:styleId="ListLabel177">
    <w:name w:val="ListLabel 177"/>
    <w:qFormat/>
    <w:rPr>
      <w:rFonts w:cs="Symbol"/>
    </w:rPr>
  </w:style>
  <w:style w:type="character" w:styleId="ListLabel178">
    <w:name w:val="ListLabel 178"/>
    <w:qFormat/>
    <w:rPr>
      <w:rFonts w:cs="Courier New"/>
    </w:rPr>
  </w:style>
  <w:style w:type="character" w:styleId="ListLabel179">
    <w:name w:val="ListLabel 179"/>
    <w:qFormat/>
    <w:rPr>
      <w:rFonts w:cs="Wingdings"/>
    </w:rPr>
  </w:style>
  <w:style w:type="character" w:styleId="ListLabel180">
    <w:name w:val="ListLabel 180"/>
    <w:qFormat/>
    <w:rPr>
      <w:rFonts w:cs="Symbol"/>
    </w:rPr>
  </w:style>
  <w:style w:type="character" w:styleId="ListLabel181">
    <w:name w:val="ListLabel 181"/>
    <w:qFormat/>
    <w:rPr>
      <w:rFonts w:cs="Courier New"/>
    </w:rPr>
  </w:style>
  <w:style w:type="character" w:styleId="ListLabel182">
    <w:name w:val="ListLabel 182"/>
    <w:qFormat/>
    <w:rPr>
      <w:rFonts w:cs="Wingdings"/>
    </w:rPr>
  </w:style>
  <w:style w:type="character" w:styleId="ListLabel183">
    <w:name w:val="ListLabel 183"/>
    <w:qFormat/>
    <w:rPr>
      <w:rFonts w:cs="Times New Roman"/>
      <w:sz w:val="22"/>
    </w:rPr>
  </w:style>
  <w:style w:type="character" w:styleId="ListLabel184">
    <w:name w:val="ListLabel 184"/>
    <w:qFormat/>
    <w:rPr>
      <w:rFonts w:cs="Courier New"/>
    </w:rPr>
  </w:style>
  <w:style w:type="character" w:styleId="ListLabel185">
    <w:name w:val="ListLabel 185"/>
    <w:qFormat/>
    <w:rPr>
      <w:rFonts w:cs="Wingdings"/>
    </w:rPr>
  </w:style>
  <w:style w:type="character" w:styleId="ListLabel186">
    <w:name w:val="ListLabel 186"/>
    <w:qFormat/>
    <w:rPr>
      <w:rFonts w:cs="Symbol"/>
    </w:rPr>
  </w:style>
  <w:style w:type="character" w:styleId="ListLabel187">
    <w:name w:val="ListLabel 187"/>
    <w:qFormat/>
    <w:rPr>
      <w:rFonts w:cs="Courier New"/>
    </w:rPr>
  </w:style>
  <w:style w:type="character" w:styleId="ListLabel188">
    <w:name w:val="ListLabel 188"/>
    <w:qFormat/>
    <w:rPr>
      <w:rFonts w:cs="Wingdings"/>
    </w:rPr>
  </w:style>
  <w:style w:type="character" w:styleId="ListLabel189">
    <w:name w:val="ListLabel 189"/>
    <w:qFormat/>
    <w:rPr>
      <w:rFonts w:cs="Symbol"/>
    </w:rPr>
  </w:style>
  <w:style w:type="character" w:styleId="ListLabel190">
    <w:name w:val="ListLabel 190"/>
    <w:qFormat/>
    <w:rPr>
      <w:rFonts w:cs="Courier New"/>
    </w:rPr>
  </w:style>
  <w:style w:type="character" w:styleId="ListLabel191">
    <w:name w:val="ListLabel 191"/>
    <w:qFormat/>
    <w:rPr>
      <w:rFonts w:cs="Wingdings"/>
    </w:rPr>
  </w:style>
  <w:style w:type="character" w:styleId="ListLabel192">
    <w:name w:val="ListLabel 192"/>
    <w:qFormat/>
    <w:rPr>
      <w:rFonts w:cs="Times New Roman"/>
      <w:sz w:val="22"/>
    </w:rPr>
  </w:style>
  <w:style w:type="character" w:styleId="ListLabel193">
    <w:name w:val="ListLabel 193"/>
    <w:qFormat/>
    <w:rPr>
      <w:rFonts w:cs="Courier New"/>
    </w:rPr>
  </w:style>
  <w:style w:type="character" w:styleId="ListLabel194">
    <w:name w:val="ListLabel 194"/>
    <w:qFormat/>
    <w:rPr>
      <w:rFonts w:cs="Wingdings"/>
    </w:rPr>
  </w:style>
  <w:style w:type="character" w:styleId="ListLabel195">
    <w:name w:val="ListLabel 195"/>
    <w:qFormat/>
    <w:rPr>
      <w:rFonts w:cs="Symbol"/>
    </w:rPr>
  </w:style>
  <w:style w:type="character" w:styleId="ListLabel196">
    <w:name w:val="ListLabel 196"/>
    <w:qFormat/>
    <w:rPr>
      <w:rFonts w:cs="Courier New"/>
    </w:rPr>
  </w:style>
  <w:style w:type="character" w:styleId="ListLabel197">
    <w:name w:val="ListLabel 197"/>
    <w:qFormat/>
    <w:rPr>
      <w:rFonts w:cs="Wingdings"/>
    </w:rPr>
  </w:style>
  <w:style w:type="character" w:styleId="ListLabel198">
    <w:name w:val="ListLabel 198"/>
    <w:qFormat/>
    <w:rPr>
      <w:rFonts w:cs="Symbol"/>
    </w:rPr>
  </w:style>
  <w:style w:type="character" w:styleId="ListLabel199">
    <w:name w:val="ListLabel 199"/>
    <w:qFormat/>
    <w:rPr>
      <w:rFonts w:cs="Courier New"/>
    </w:rPr>
  </w:style>
  <w:style w:type="character" w:styleId="ListLabel200">
    <w:name w:val="ListLabel 200"/>
    <w:qFormat/>
    <w:rPr>
      <w:rFonts w:cs="Wingdings"/>
    </w:rPr>
  </w:style>
  <w:style w:type="character" w:styleId="ListLabel201">
    <w:name w:val="ListLabel 201"/>
    <w:qFormat/>
    <w:rPr>
      <w:rFonts w:cs="Times New Roman"/>
      <w:sz w:val="22"/>
    </w:rPr>
  </w:style>
  <w:style w:type="character" w:styleId="ListLabel202">
    <w:name w:val="ListLabel 202"/>
    <w:qFormat/>
    <w:rPr>
      <w:rFonts w:cs="Courier New"/>
    </w:rPr>
  </w:style>
  <w:style w:type="character" w:styleId="ListLabel203">
    <w:name w:val="ListLabel 203"/>
    <w:qFormat/>
    <w:rPr>
      <w:rFonts w:cs="Wingdings"/>
    </w:rPr>
  </w:style>
  <w:style w:type="character" w:styleId="ListLabel204">
    <w:name w:val="ListLabel 204"/>
    <w:qFormat/>
    <w:rPr>
      <w:rFonts w:cs="Symbol"/>
    </w:rPr>
  </w:style>
  <w:style w:type="character" w:styleId="ListLabel205">
    <w:name w:val="ListLabel 205"/>
    <w:qFormat/>
    <w:rPr>
      <w:rFonts w:cs="Courier New"/>
    </w:rPr>
  </w:style>
  <w:style w:type="character" w:styleId="ListLabel206">
    <w:name w:val="ListLabel 206"/>
    <w:qFormat/>
    <w:rPr>
      <w:rFonts w:cs="Wingdings"/>
    </w:rPr>
  </w:style>
  <w:style w:type="character" w:styleId="ListLabel207">
    <w:name w:val="ListLabel 207"/>
    <w:qFormat/>
    <w:rPr>
      <w:rFonts w:cs="Symbol"/>
    </w:rPr>
  </w:style>
  <w:style w:type="character" w:styleId="ListLabel208">
    <w:name w:val="ListLabel 208"/>
    <w:qFormat/>
    <w:rPr>
      <w:rFonts w:cs="Courier New"/>
    </w:rPr>
  </w:style>
  <w:style w:type="character" w:styleId="ListLabel209">
    <w:name w:val="ListLabel 209"/>
    <w:qFormat/>
    <w:rPr>
      <w:rFonts w:cs="Wingdings"/>
    </w:rPr>
  </w:style>
  <w:style w:type="character" w:styleId="ListLabel210">
    <w:name w:val="ListLabel 210"/>
    <w:qFormat/>
    <w:rPr>
      <w:rFonts w:cs="Times New Roman"/>
      <w:sz w:val="22"/>
    </w:rPr>
  </w:style>
  <w:style w:type="character" w:styleId="ListLabel211">
    <w:name w:val="ListLabel 211"/>
    <w:qFormat/>
    <w:rPr>
      <w:rFonts w:cs="Courier New"/>
    </w:rPr>
  </w:style>
  <w:style w:type="character" w:styleId="ListLabel212">
    <w:name w:val="ListLabel 212"/>
    <w:qFormat/>
    <w:rPr>
      <w:rFonts w:cs="Wingdings"/>
    </w:rPr>
  </w:style>
  <w:style w:type="character" w:styleId="ListLabel213">
    <w:name w:val="ListLabel 213"/>
    <w:qFormat/>
    <w:rPr>
      <w:rFonts w:cs="Symbol"/>
    </w:rPr>
  </w:style>
  <w:style w:type="character" w:styleId="ListLabel214">
    <w:name w:val="ListLabel 214"/>
    <w:qFormat/>
    <w:rPr>
      <w:rFonts w:cs="Courier New"/>
    </w:rPr>
  </w:style>
  <w:style w:type="character" w:styleId="ListLabel215">
    <w:name w:val="ListLabel 215"/>
    <w:qFormat/>
    <w:rPr>
      <w:rFonts w:cs="Wingdings"/>
    </w:rPr>
  </w:style>
  <w:style w:type="character" w:styleId="ListLabel216">
    <w:name w:val="ListLabel 216"/>
    <w:qFormat/>
    <w:rPr>
      <w:rFonts w:cs="Symbol"/>
    </w:rPr>
  </w:style>
  <w:style w:type="character" w:styleId="ListLabel217">
    <w:name w:val="ListLabel 217"/>
    <w:qFormat/>
    <w:rPr>
      <w:rFonts w:cs="Courier New"/>
    </w:rPr>
  </w:style>
  <w:style w:type="character" w:styleId="ListLabel218">
    <w:name w:val="ListLabel 218"/>
    <w:qFormat/>
    <w:rPr>
      <w:rFonts w:cs="Wingdings"/>
    </w:rPr>
  </w:style>
  <w:style w:type="character" w:styleId="ListLabel219">
    <w:name w:val="ListLabel 219"/>
    <w:qFormat/>
    <w:rPr>
      <w:rFonts w:cs="Times New Roman"/>
      <w:sz w:val="22"/>
    </w:rPr>
  </w:style>
  <w:style w:type="character" w:styleId="ListLabel220">
    <w:name w:val="ListLabel 220"/>
    <w:qFormat/>
    <w:rPr>
      <w:rFonts w:cs="Courier New"/>
    </w:rPr>
  </w:style>
  <w:style w:type="character" w:styleId="ListLabel221">
    <w:name w:val="ListLabel 221"/>
    <w:qFormat/>
    <w:rPr>
      <w:rFonts w:cs="Wingdings"/>
    </w:rPr>
  </w:style>
  <w:style w:type="character" w:styleId="ListLabel222">
    <w:name w:val="ListLabel 222"/>
    <w:qFormat/>
    <w:rPr>
      <w:rFonts w:cs="Symbol"/>
    </w:rPr>
  </w:style>
  <w:style w:type="character" w:styleId="ListLabel223">
    <w:name w:val="ListLabel 223"/>
    <w:qFormat/>
    <w:rPr>
      <w:rFonts w:cs="Courier New"/>
    </w:rPr>
  </w:style>
  <w:style w:type="character" w:styleId="ListLabel224">
    <w:name w:val="ListLabel 224"/>
    <w:qFormat/>
    <w:rPr>
      <w:rFonts w:cs="Wingdings"/>
    </w:rPr>
  </w:style>
  <w:style w:type="character" w:styleId="ListLabel225">
    <w:name w:val="ListLabel 225"/>
    <w:qFormat/>
    <w:rPr>
      <w:rFonts w:cs="Symbol"/>
    </w:rPr>
  </w:style>
  <w:style w:type="character" w:styleId="ListLabel226">
    <w:name w:val="ListLabel 226"/>
    <w:qFormat/>
    <w:rPr>
      <w:rFonts w:cs="Courier New"/>
    </w:rPr>
  </w:style>
  <w:style w:type="character" w:styleId="ListLabel227">
    <w:name w:val="ListLabel 227"/>
    <w:qFormat/>
    <w:rPr>
      <w:rFonts w:cs="Wingdings"/>
    </w:rPr>
  </w:style>
  <w:style w:type="character" w:styleId="ListLabel228">
    <w:name w:val="ListLabel 228"/>
    <w:qFormat/>
    <w:rPr>
      <w:rFonts w:cs="Times New Roman"/>
      <w:sz w:val="22"/>
    </w:rPr>
  </w:style>
  <w:style w:type="character" w:styleId="ListLabel229">
    <w:name w:val="ListLabel 229"/>
    <w:qFormat/>
    <w:rPr>
      <w:rFonts w:cs="Courier New"/>
    </w:rPr>
  </w:style>
  <w:style w:type="character" w:styleId="ListLabel230">
    <w:name w:val="ListLabel 230"/>
    <w:qFormat/>
    <w:rPr>
      <w:rFonts w:cs="Wingdings"/>
    </w:rPr>
  </w:style>
  <w:style w:type="character" w:styleId="ListLabel231">
    <w:name w:val="ListLabel 231"/>
    <w:qFormat/>
    <w:rPr>
      <w:rFonts w:cs="Symbol"/>
    </w:rPr>
  </w:style>
  <w:style w:type="character" w:styleId="ListLabel232">
    <w:name w:val="ListLabel 232"/>
    <w:qFormat/>
    <w:rPr>
      <w:rFonts w:cs="Courier New"/>
    </w:rPr>
  </w:style>
  <w:style w:type="character" w:styleId="ListLabel233">
    <w:name w:val="ListLabel 233"/>
    <w:qFormat/>
    <w:rPr>
      <w:rFonts w:cs="Wingdings"/>
    </w:rPr>
  </w:style>
  <w:style w:type="character" w:styleId="ListLabel234">
    <w:name w:val="ListLabel 234"/>
    <w:qFormat/>
    <w:rPr>
      <w:rFonts w:cs="Symbol"/>
    </w:rPr>
  </w:style>
  <w:style w:type="character" w:styleId="ListLabel235">
    <w:name w:val="ListLabel 235"/>
    <w:qFormat/>
    <w:rPr>
      <w:rFonts w:cs="Courier New"/>
    </w:rPr>
  </w:style>
  <w:style w:type="character" w:styleId="ListLabel236">
    <w:name w:val="ListLabel 236"/>
    <w:qFormat/>
    <w:rPr>
      <w:rFonts w:cs="Wingdings"/>
    </w:rPr>
  </w:style>
  <w:style w:type="character" w:styleId="ListLabel237">
    <w:name w:val="ListLabel 237"/>
    <w:qFormat/>
    <w:rPr>
      <w:rFonts w:cs="Times New Roman"/>
      <w:sz w:val="22"/>
    </w:rPr>
  </w:style>
  <w:style w:type="character" w:styleId="ListLabel238">
    <w:name w:val="ListLabel 238"/>
    <w:qFormat/>
    <w:rPr>
      <w:rFonts w:cs="Courier New"/>
    </w:rPr>
  </w:style>
  <w:style w:type="character" w:styleId="ListLabel239">
    <w:name w:val="ListLabel 239"/>
    <w:qFormat/>
    <w:rPr>
      <w:rFonts w:cs="Wingdings"/>
    </w:rPr>
  </w:style>
  <w:style w:type="character" w:styleId="ListLabel240">
    <w:name w:val="ListLabel 240"/>
    <w:qFormat/>
    <w:rPr>
      <w:rFonts w:cs="Symbol"/>
    </w:rPr>
  </w:style>
  <w:style w:type="character" w:styleId="ListLabel241">
    <w:name w:val="ListLabel 241"/>
    <w:qFormat/>
    <w:rPr>
      <w:rFonts w:cs="Courier New"/>
    </w:rPr>
  </w:style>
  <w:style w:type="character" w:styleId="ListLabel242">
    <w:name w:val="ListLabel 242"/>
    <w:qFormat/>
    <w:rPr>
      <w:rFonts w:cs="Wingdings"/>
    </w:rPr>
  </w:style>
  <w:style w:type="character" w:styleId="ListLabel243">
    <w:name w:val="ListLabel 243"/>
    <w:qFormat/>
    <w:rPr>
      <w:rFonts w:cs="Symbol"/>
    </w:rPr>
  </w:style>
  <w:style w:type="character" w:styleId="ListLabel244">
    <w:name w:val="ListLabel 244"/>
    <w:qFormat/>
    <w:rPr>
      <w:rFonts w:cs="Courier New"/>
    </w:rPr>
  </w:style>
  <w:style w:type="character" w:styleId="ListLabel245">
    <w:name w:val="ListLabel 245"/>
    <w:qFormat/>
    <w:rPr>
      <w:rFonts w:cs="Wingdings"/>
    </w:rPr>
  </w:style>
  <w:style w:type="character" w:styleId="ListLabel246">
    <w:name w:val="ListLabel 246"/>
    <w:qFormat/>
    <w:rPr>
      <w:rFonts w:cs="Times New Roman"/>
      <w:sz w:val="22"/>
    </w:rPr>
  </w:style>
  <w:style w:type="character" w:styleId="ListLabel247">
    <w:name w:val="ListLabel 247"/>
    <w:qFormat/>
    <w:rPr>
      <w:rFonts w:cs="Courier New"/>
    </w:rPr>
  </w:style>
  <w:style w:type="character" w:styleId="ListLabel248">
    <w:name w:val="ListLabel 248"/>
    <w:qFormat/>
    <w:rPr>
      <w:rFonts w:cs="Wingdings"/>
    </w:rPr>
  </w:style>
  <w:style w:type="character" w:styleId="ListLabel249">
    <w:name w:val="ListLabel 249"/>
    <w:qFormat/>
    <w:rPr>
      <w:rFonts w:cs="Symbol"/>
    </w:rPr>
  </w:style>
  <w:style w:type="character" w:styleId="ListLabel250">
    <w:name w:val="ListLabel 250"/>
    <w:qFormat/>
    <w:rPr>
      <w:rFonts w:cs="Courier New"/>
    </w:rPr>
  </w:style>
  <w:style w:type="character" w:styleId="ListLabel251">
    <w:name w:val="ListLabel 251"/>
    <w:qFormat/>
    <w:rPr>
      <w:rFonts w:cs="Wingdings"/>
    </w:rPr>
  </w:style>
  <w:style w:type="character" w:styleId="ListLabel252">
    <w:name w:val="ListLabel 252"/>
    <w:qFormat/>
    <w:rPr>
      <w:rFonts w:cs="Symbol"/>
    </w:rPr>
  </w:style>
  <w:style w:type="character" w:styleId="ListLabel253">
    <w:name w:val="ListLabel 253"/>
    <w:qFormat/>
    <w:rPr>
      <w:rFonts w:cs="Courier New"/>
    </w:rPr>
  </w:style>
  <w:style w:type="character" w:styleId="ListLabel254">
    <w:name w:val="ListLabel 254"/>
    <w:qFormat/>
    <w:rPr>
      <w:rFonts w:cs="Wingdings"/>
    </w:rPr>
  </w:style>
  <w:style w:type="character" w:styleId="ListLabel255">
    <w:name w:val="ListLabel 255"/>
    <w:qFormat/>
    <w:rPr>
      <w:rFonts w:cs="Times New Roman"/>
      <w:sz w:val="22"/>
    </w:rPr>
  </w:style>
  <w:style w:type="character" w:styleId="ListLabel256">
    <w:name w:val="ListLabel 256"/>
    <w:qFormat/>
    <w:rPr>
      <w:rFonts w:cs="Courier New"/>
    </w:rPr>
  </w:style>
  <w:style w:type="character" w:styleId="ListLabel257">
    <w:name w:val="ListLabel 257"/>
    <w:qFormat/>
    <w:rPr>
      <w:rFonts w:cs="Wingdings"/>
    </w:rPr>
  </w:style>
  <w:style w:type="character" w:styleId="ListLabel258">
    <w:name w:val="ListLabel 258"/>
    <w:qFormat/>
    <w:rPr>
      <w:rFonts w:cs="Symbol"/>
    </w:rPr>
  </w:style>
  <w:style w:type="character" w:styleId="ListLabel259">
    <w:name w:val="ListLabel 259"/>
    <w:qFormat/>
    <w:rPr>
      <w:rFonts w:cs="Courier New"/>
    </w:rPr>
  </w:style>
  <w:style w:type="character" w:styleId="ListLabel260">
    <w:name w:val="ListLabel 260"/>
    <w:qFormat/>
    <w:rPr>
      <w:rFonts w:cs="Wingdings"/>
    </w:rPr>
  </w:style>
  <w:style w:type="character" w:styleId="ListLabel261">
    <w:name w:val="ListLabel 261"/>
    <w:qFormat/>
    <w:rPr>
      <w:rFonts w:cs="Symbol"/>
    </w:rPr>
  </w:style>
  <w:style w:type="character" w:styleId="ListLabel262">
    <w:name w:val="ListLabel 262"/>
    <w:qFormat/>
    <w:rPr>
      <w:rFonts w:cs="Courier New"/>
    </w:rPr>
  </w:style>
  <w:style w:type="character" w:styleId="ListLabel263">
    <w:name w:val="ListLabel 263"/>
    <w:qFormat/>
    <w:rPr>
      <w:rFonts w:cs="Wingdings"/>
    </w:rPr>
  </w:style>
  <w:style w:type="character" w:styleId="ListLabel264">
    <w:name w:val="ListLabel 264"/>
    <w:qFormat/>
    <w:rPr>
      <w:rFonts w:cs="Times New Roman"/>
      <w:sz w:val="22"/>
    </w:rPr>
  </w:style>
  <w:style w:type="character" w:styleId="ListLabel265">
    <w:name w:val="ListLabel 265"/>
    <w:qFormat/>
    <w:rPr>
      <w:rFonts w:cs="Courier New"/>
    </w:rPr>
  </w:style>
  <w:style w:type="character" w:styleId="ListLabel266">
    <w:name w:val="ListLabel 266"/>
    <w:qFormat/>
    <w:rPr>
      <w:rFonts w:cs="Wingdings"/>
    </w:rPr>
  </w:style>
  <w:style w:type="character" w:styleId="ListLabel267">
    <w:name w:val="ListLabel 267"/>
    <w:qFormat/>
    <w:rPr>
      <w:rFonts w:cs="Symbol"/>
    </w:rPr>
  </w:style>
  <w:style w:type="character" w:styleId="ListLabel268">
    <w:name w:val="ListLabel 268"/>
    <w:qFormat/>
    <w:rPr>
      <w:rFonts w:cs="Courier New"/>
    </w:rPr>
  </w:style>
  <w:style w:type="character" w:styleId="ListLabel269">
    <w:name w:val="ListLabel 269"/>
    <w:qFormat/>
    <w:rPr>
      <w:rFonts w:cs="Wingdings"/>
    </w:rPr>
  </w:style>
  <w:style w:type="character" w:styleId="ListLabel270">
    <w:name w:val="ListLabel 270"/>
    <w:qFormat/>
    <w:rPr>
      <w:rFonts w:cs="Symbol"/>
    </w:rPr>
  </w:style>
  <w:style w:type="character" w:styleId="ListLabel271">
    <w:name w:val="ListLabel 271"/>
    <w:qFormat/>
    <w:rPr>
      <w:rFonts w:cs="Courier New"/>
    </w:rPr>
  </w:style>
  <w:style w:type="character" w:styleId="ListLabel272">
    <w:name w:val="ListLabel 272"/>
    <w:qFormat/>
    <w:rPr>
      <w:rFonts w:cs="Wingdings"/>
    </w:rPr>
  </w:style>
  <w:style w:type="character" w:styleId="ListLabel273">
    <w:name w:val="ListLabel 273"/>
    <w:qFormat/>
    <w:rPr>
      <w:rFonts w:cs="Times New Roman"/>
      <w:sz w:val="22"/>
    </w:rPr>
  </w:style>
  <w:style w:type="character" w:styleId="ListLabel274">
    <w:name w:val="ListLabel 274"/>
    <w:qFormat/>
    <w:rPr>
      <w:rFonts w:cs="Courier New"/>
    </w:rPr>
  </w:style>
  <w:style w:type="character" w:styleId="ListLabel275">
    <w:name w:val="ListLabel 275"/>
    <w:qFormat/>
    <w:rPr>
      <w:rFonts w:cs="Wingdings"/>
    </w:rPr>
  </w:style>
  <w:style w:type="character" w:styleId="ListLabel276">
    <w:name w:val="ListLabel 276"/>
    <w:qFormat/>
    <w:rPr>
      <w:rFonts w:cs="Symbol"/>
    </w:rPr>
  </w:style>
  <w:style w:type="character" w:styleId="ListLabel277">
    <w:name w:val="ListLabel 277"/>
    <w:qFormat/>
    <w:rPr>
      <w:rFonts w:cs="Courier New"/>
    </w:rPr>
  </w:style>
  <w:style w:type="character" w:styleId="ListLabel278">
    <w:name w:val="ListLabel 278"/>
    <w:qFormat/>
    <w:rPr>
      <w:rFonts w:cs="Wingdings"/>
    </w:rPr>
  </w:style>
  <w:style w:type="character" w:styleId="ListLabel279">
    <w:name w:val="ListLabel 279"/>
    <w:qFormat/>
    <w:rPr>
      <w:rFonts w:cs="Symbol"/>
    </w:rPr>
  </w:style>
  <w:style w:type="character" w:styleId="ListLabel280">
    <w:name w:val="ListLabel 280"/>
    <w:qFormat/>
    <w:rPr>
      <w:rFonts w:cs="Courier New"/>
    </w:rPr>
  </w:style>
  <w:style w:type="character" w:styleId="ListLabel281">
    <w:name w:val="ListLabel 281"/>
    <w:qFormat/>
    <w:rPr>
      <w:rFonts w:cs="Wingdings"/>
    </w:rPr>
  </w:style>
  <w:style w:type="character" w:styleId="ListLabel282">
    <w:name w:val="ListLabel 282"/>
    <w:qFormat/>
    <w:rPr>
      <w:rFonts w:cs="Times New Roman"/>
      <w:sz w:val="22"/>
    </w:rPr>
  </w:style>
  <w:style w:type="character" w:styleId="ListLabel283">
    <w:name w:val="ListLabel 283"/>
    <w:qFormat/>
    <w:rPr>
      <w:rFonts w:cs="Courier New"/>
    </w:rPr>
  </w:style>
  <w:style w:type="character" w:styleId="ListLabel284">
    <w:name w:val="ListLabel 284"/>
    <w:qFormat/>
    <w:rPr>
      <w:rFonts w:cs="Wingdings"/>
    </w:rPr>
  </w:style>
  <w:style w:type="character" w:styleId="ListLabel285">
    <w:name w:val="ListLabel 285"/>
    <w:qFormat/>
    <w:rPr>
      <w:rFonts w:cs="Symbol"/>
    </w:rPr>
  </w:style>
  <w:style w:type="character" w:styleId="ListLabel286">
    <w:name w:val="ListLabel 286"/>
    <w:qFormat/>
    <w:rPr>
      <w:rFonts w:cs="Courier New"/>
    </w:rPr>
  </w:style>
  <w:style w:type="character" w:styleId="ListLabel287">
    <w:name w:val="ListLabel 287"/>
    <w:qFormat/>
    <w:rPr>
      <w:rFonts w:cs="Wingdings"/>
    </w:rPr>
  </w:style>
  <w:style w:type="character" w:styleId="ListLabel288">
    <w:name w:val="ListLabel 288"/>
    <w:qFormat/>
    <w:rPr>
      <w:rFonts w:cs="Symbol"/>
    </w:rPr>
  </w:style>
  <w:style w:type="character" w:styleId="ListLabel289">
    <w:name w:val="ListLabel 289"/>
    <w:qFormat/>
    <w:rPr>
      <w:rFonts w:cs="Courier New"/>
    </w:rPr>
  </w:style>
  <w:style w:type="character" w:styleId="ListLabel290">
    <w:name w:val="ListLabel 290"/>
    <w:qFormat/>
    <w:rPr>
      <w:rFonts w:cs="Wingdings"/>
    </w:rPr>
  </w:style>
  <w:style w:type="character" w:styleId="ListLabel291">
    <w:name w:val="ListLabel 291"/>
    <w:qFormat/>
    <w:rPr>
      <w:rFonts w:cs="Times New Roman"/>
      <w:sz w:val="22"/>
    </w:rPr>
  </w:style>
  <w:style w:type="character" w:styleId="ListLabel292">
    <w:name w:val="ListLabel 292"/>
    <w:qFormat/>
    <w:rPr>
      <w:rFonts w:cs="Courier New"/>
    </w:rPr>
  </w:style>
  <w:style w:type="character" w:styleId="ListLabel293">
    <w:name w:val="ListLabel 293"/>
    <w:qFormat/>
    <w:rPr>
      <w:rFonts w:cs="Wingdings"/>
    </w:rPr>
  </w:style>
  <w:style w:type="character" w:styleId="ListLabel294">
    <w:name w:val="ListLabel 294"/>
    <w:qFormat/>
    <w:rPr>
      <w:rFonts w:cs="Symbol"/>
    </w:rPr>
  </w:style>
  <w:style w:type="character" w:styleId="ListLabel295">
    <w:name w:val="ListLabel 295"/>
    <w:qFormat/>
    <w:rPr>
      <w:rFonts w:cs="Courier New"/>
    </w:rPr>
  </w:style>
  <w:style w:type="character" w:styleId="ListLabel296">
    <w:name w:val="ListLabel 296"/>
    <w:qFormat/>
    <w:rPr>
      <w:rFonts w:cs="Wingdings"/>
    </w:rPr>
  </w:style>
  <w:style w:type="character" w:styleId="ListLabel297">
    <w:name w:val="ListLabel 297"/>
    <w:qFormat/>
    <w:rPr>
      <w:rFonts w:cs="Symbol"/>
    </w:rPr>
  </w:style>
  <w:style w:type="character" w:styleId="ListLabel298">
    <w:name w:val="ListLabel 298"/>
    <w:qFormat/>
    <w:rPr>
      <w:rFonts w:cs="Courier New"/>
    </w:rPr>
  </w:style>
  <w:style w:type="character" w:styleId="ListLabel299">
    <w:name w:val="ListLabel 299"/>
    <w:qFormat/>
    <w:rPr>
      <w:rFonts w:cs="Wingdings"/>
    </w:rPr>
  </w:style>
  <w:style w:type="character" w:styleId="ListLabel300">
    <w:name w:val="ListLabel 300"/>
    <w:qFormat/>
    <w:rPr>
      <w:rFonts w:cs="Times New Roman"/>
      <w:sz w:val="22"/>
    </w:rPr>
  </w:style>
  <w:style w:type="character" w:styleId="ListLabel301">
    <w:name w:val="ListLabel 301"/>
    <w:qFormat/>
    <w:rPr>
      <w:rFonts w:cs="Courier New"/>
    </w:rPr>
  </w:style>
  <w:style w:type="character" w:styleId="ListLabel302">
    <w:name w:val="ListLabel 302"/>
    <w:qFormat/>
    <w:rPr>
      <w:rFonts w:cs="Wingdings"/>
    </w:rPr>
  </w:style>
  <w:style w:type="character" w:styleId="ListLabel303">
    <w:name w:val="ListLabel 303"/>
    <w:qFormat/>
    <w:rPr>
      <w:rFonts w:cs="Symbol"/>
    </w:rPr>
  </w:style>
  <w:style w:type="character" w:styleId="ListLabel304">
    <w:name w:val="ListLabel 304"/>
    <w:qFormat/>
    <w:rPr>
      <w:rFonts w:cs="Courier New"/>
    </w:rPr>
  </w:style>
  <w:style w:type="character" w:styleId="ListLabel305">
    <w:name w:val="ListLabel 305"/>
    <w:qFormat/>
    <w:rPr>
      <w:rFonts w:cs="Wingdings"/>
    </w:rPr>
  </w:style>
  <w:style w:type="character" w:styleId="ListLabel306">
    <w:name w:val="ListLabel 306"/>
    <w:qFormat/>
    <w:rPr>
      <w:rFonts w:cs="Symbol"/>
    </w:rPr>
  </w:style>
  <w:style w:type="character" w:styleId="ListLabel307">
    <w:name w:val="ListLabel 307"/>
    <w:qFormat/>
    <w:rPr>
      <w:rFonts w:cs="Courier New"/>
    </w:rPr>
  </w:style>
  <w:style w:type="character" w:styleId="ListLabel308">
    <w:name w:val="ListLabel 308"/>
    <w:qFormat/>
    <w:rPr>
      <w:rFonts w:cs="Wingdings"/>
    </w:rPr>
  </w:style>
  <w:style w:type="character" w:styleId="ListLabel309">
    <w:name w:val="ListLabel 309"/>
    <w:qFormat/>
    <w:rPr>
      <w:rFonts w:cs="Times New Roman"/>
      <w:sz w:val="22"/>
    </w:rPr>
  </w:style>
  <w:style w:type="character" w:styleId="ListLabel310">
    <w:name w:val="ListLabel 310"/>
    <w:qFormat/>
    <w:rPr>
      <w:rFonts w:cs="Courier New"/>
    </w:rPr>
  </w:style>
  <w:style w:type="character" w:styleId="ListLabel311">
    <w:name w:val="ListLabel 311"/>
    <w:qFormat/>
    <w:rPr>
      <w:rFonts w:cs="Wingdings"/>
    </w:rPr>
  </w:style>
  <w:style w:type="character" w:styleId="ListLabel312">
    <w:name w:val="ListLabel 312"/>
    <w:qFormat/>
    <w:rPr>
      <w:rFonts w:cs="Symbol"/>
    </w:rPr>
  </w:style>
  <w:style w:type="character" w:styleId="ListLabel313">
    <w:name w:val="ListLabel 313"/>
    <w:qFormat/>
    <w:rPr>
      <w:rFonts w:cs="Courier New"/>
    </w:rPr>
  </w:style>
  <w:style w:type="character" w:styleId="ListLabel314">
    <w:name w:val="ListLabel 314"/>
    <w:qFormat/>
    <w:rPr>
      <w:rFonts w:cs="Wingdings"/>
    </w:rPr>
  </w:style>
  <w:style w:type="character" w:styleId="ListLabel315">
    <w:name w:val="ListLabel 315"/>
    <w:qFormat/>
    <w:rPr>
      <w:rFonts w:cs="Symbol"/>
    </w:rPr>
  </w:style>
  <w:style w:type="character" w:styleId="ListLabel316">
    <w:name w:val="ListLabel 316"/>
    <w:qFormat/>
    <w:rPr>
      <w:rFonts w:cs="Courier New"/>
    </w:rPr>
  </w:style>
  <w:style w:type="character" w:styleId="ListLabel317">
    <w:name w:val="ListLabel 317"/>
    <w:qFormat/>
    <w:rPr>
      <w:rFonts w:cs="Wingdings"/>
    </w:rPr>
  </w:style>
  <w:style w:type="character" w:styleId="ListLabel318">
    <w:name w:val="ListLabel 318"/>
    <w:qFormat/>
    <w:rPr>
      <w:rFonts w:cs="Times New Roman"/>
      <w:sz w:val="22"/>
    </w:rPr>
  </w:style>
  <w:style w:type="character" w:styleId="ListLabel319">
    <w:name w:val="ListLabel 319"/>
    <w:qFormat/>
    <w:rPr>
      <w:rFonts w:cs="Courier New"/>
    </w:rPr>
  </w:style>
  <w:style w:type="character" w:styleId="ListLabel320">
    <w:name w:val="ListLabel 320"/>
    <w:qFormat/>
    <w:rPr>
      <w:rFonts w:cs="Wingdings"/>
    </w:rPr>
  </w:style>
  <w:style w:type="character" w:styleId="ListLabel321">
    <w:name w:val="ListLabel 321"/>
    <w:qFormat/>
    <w:rPr>
      <w:rFonts w:cs="Symbol"/>
    </w:rPr>
  </w:style>
  <w:style w:type="character" w:styleId="ListLabel322">
    <w:name w:val="ListLabel 322"/>
    <w:qFormat/>
    <w:rPr>
      <w:rFonts w:cs="Courier New"/>
    </w:rPr>
  </w:style>
  <w:style w:type="character" w:styleId="ListLabel323">
    <w:name w:val="ListLabel 323"/>
    <w:qFormat/>
    <w:rPr>
      <w:rFonts w:cs="Wingdings"/>
    </w:rPr>
  </w:style>
  <w:style w:type="character" w:styleId="ListLabel324">
    <w:name w:val="ListLabel 324"/>
    <w:qFormat/>
    <w:rPr>
      <w:rFonts w:cs="Symbol"/>
    </w:rPr>
  </w:style>
  <w:style w:type="character" w:styleId="ListLabel325">
    <w:name w:val="ListLabel 325"/>
    <w:qFormat/>
    <w:rPr>
      <w:rFonts w:cs="Courier New"/>
    </w:rPr>
  </w:style>
  <w:style w:type="character" w:styleId="ListLabel326">
    <w:name w:val="ListLabel 326"/>
    <w:qFormat/>
    <w:rPr>
      <w:rFonts w:cs="Wingdings"/>
    </w:rPr>
  </w:style>
  <w:style w:type="character" w:styleId="ListLabel327">
    <w:name w:val="ListLabel 327"/>
    <w:qFormat/>
    <w:rPr>
      <w:rFonts w:cs="Times New Roman"/>
      <w:sz w:val="22"/>
    </w:rPr>
  </w:style>
  <w:style w:type="character" w:styleId="ListLabel328">
    <w:name w:val="ListLabel 328"/>
    <w:qFormat/>
    <w:rPr>
      <w:rFonts w:cs="Courier New"/>
    </w:rPr>
  </w:style>
  <w:style w:type="character" w:styleId="ListLabel329">
    <w:name w:val="ListLabel 329"/>
    <w:qFormat/>
    <w:rPr>
      <w:rFonts w:cs="Wingdings"/>
    </w:rPr>
  </w:style>
  <w:style w:type="character" w:styleId="ListLabel330">
    <w:name w:val="ListLabel 330"/>
    <w:qFormat/>
    <w:rPr>
      <w:rFonts w:cs="Symbol"/>
    </w:rPr>
  </w:style>
  <w:style w:type="character" w:styleId="ListLabel331">
    <w:name w:val="ListLabel 331"/>
    <w:qFormat/>
    <w:rPr>
      <w:rFonts w:cs="Courier New"/>
    </w:rPr>
  </w:style>
  <w:style w:type="character" w:styleId="ListLabel332">
    <w:name w:val="ListLabel 332"/>
    <w:qFormat/>
    <w:rPr>
      <w:rFonts w:cs="Wingdings"/>
    </w:rPr>
  </w:style>
  <w:style w:type="character" w:styleId="ListLabel333">
    <w:name w:val="ListLabel 333"/>
    <w:qFormat/>
    <w:rPr>
      <w:rFonts w:cs="Symbol"/>
    </w:rPr>
  </w:style>
  <w:style w:type="character" w:styleId="ListLabel334">
    <w:name w:val="ListLabel 334"/>
    <w:qFormat/>
    <w:rPr>
      <w:rFonts w:cs="Courier New"/>
    </w:rPr>
  </w:style>
  <w:style w:type="character" w:styleId="ListLabel335">
    <w:name w:val="ListLabel 335"/>
    <w:qFormat/>
    <w:rPr>
      <w:rFonts w:cs="Wingdings"/>
    </w:rPr>
  </w:style>
  <w:style w:type="paragraph" w:styleId="Stilnaslova" w:customStyle="1">
    <w:name w:val="Stil naslova"/>
    <w:basedOn w:val="Normal"/>
    <w:next w:val="Tijeloteksta"/>
    <w:qFormat/>
    <w:rsid w:val="004468fd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rsid w:val="004468fd"/>
    <w:pPr>
      <w:spacing w:lineRule="auto" w:line="276" w:before="0" w:after="140"/>
    </w:pPr>
    <w:rPr/>
  </w:style>
  <w:style w:type="paragraph" w:styleId="Popis">
    <w:name w:val="List"/>
    <w:basedOn w:val="Tijeloteksta"/>
    <w:rsid w:val="004468fd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rsid w:val="004468fd"/>
    <w:pPr>
      <w:suppressLineNumbers/>
    </w:pPr>
    <w:rPr>
      <w:rFonts w:cs="Arial"/>
    </w:rPr>
  </w:style>
  <w:style w:type="paragraph" w:styleId="Caption">
    <w:name w:val="caption"/>
    <w:basedOn w:val="Normal"/>
    <w:qFormat/>
    <w:rsid w:val="004468fd"/>
    <w:pPr>
      <w:suppressLineNumbers/>
      <w:spacing w:before="120" w:after="120"/>
    </w:pPr>
    <w:rPr>
      <w:rFonts w:cs="Arial"/>
      <w:i/>
      <w:iCs/>
    </w:rPr>
  </w:style>
  <w:style w:type="paragraph" w:styleId="BalloonText">
    <w:name w:val="Balloon Text"/>
    <w:basedOn w:val="Normal"/>
    <w:link w:val="TekstbaloniaChar"/>
    <w:uiPriority w:val="99"/>
    <w:semiHidden/>
    <w:unhideWhenUsed/>
    <w:qFormat/>
    <w:rsid w:val="008e6909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8e6909"/>
    <w:pPr>
      <w:widowControl/>
      <w:suppressAutoHyphens w:val="true"/>
      <w:bidi w:val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hr-HR" w:eastAsia="en-US" w:bidi="ar-SA"/>
    </w:rPr>
  </w:style>
  <w:style w:type="paragraph" w:styleId="Sadrajitablice" w:customStyle="1">
    <w:name w:val="Sadržaji tablice"/>
    <w:basedOn w:val="Normal"/>
    <w:qFormat/>
    <w:rsid w:val="004468fd"/>
    <w:pPr>
      <w:suppressLineNumbers/>
    </w:pPr>
    <w:rPr/>
  </w:style>
  <w:style w:type="paragraph" w:styleId="Naslovtablice" w:customStyle="1">
    <w:name w:val="Naslov tablice"/>
    <w:basedOn w:val="Sadrajitablice"/>
    <w:qFormat/>
    <w:rsid w:val="004468fd"/>
    <w:pPr>
      <w:jc w:val="center"/>
    </w:pPr>
    <w:rPr>
      <w:b/>
      <w:bCs/>
    </w:rPr>
  </w:style>
  <w:style w:type="paragraph" w:styleId="NoSpacing">
    <w:name w:val="No Spacing"/>
    <w:uiPriority w:val="1"/>
    <w:qFormat/>
    <w:rsid w:val="004468fd"/>
    <w:pPr>
      <w:widowControl/>
      <w:suppressAutoHyphens w:val="true"/>
      <w:bidi w:val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hr-H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59"/>
    <w:rsid w:val="008d5f25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1457</TotalTime>
  <Application>LibreOffice/6.2.4.2$Windows_X86_64 LibreOffice_project/2412653d852ce75f65fbfa83fb7e7b669a126d64</Application>
  <Pages>3</Pages>
  <Words>1103</Words>
  <Characters>6956</Characters>
  <CharactersWithSpaces>7882</CharactersWithSpaces>
  <Paragraphs>245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2023-01-07T14:17:00Z</dcterms:created>
  <dc:creator>URED-PC</dc:creator>
  <dc:description/>
  <dc:language>hr-HR</dc:language>
  <cp:lastModifiedBy/>
  <cp:lastPrinted>2025-12-16T08:38:51Z</cp:lastPrinted>
  <dcterms:modified xsi:type="dcterms:W3CDTF">2026-10-01T12:40:06Z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