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74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0"/>
        <w:gridCol w:w="5203"/>
      </w:tblGrid>
      <w:tr>
        <w:trPr>
          <w:trHeight w:val="506" w:hRule="atLeast"/>
        </w:trPr>
        <w:tc>
          <w:tcPr>
            <w:tcW w:w="44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0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363-01/23-01/25</w:t>
      </w:r>
    </w:p>
    <w:p>
      <w:pPr>
        <w:pStyle w:val="Normal"/>
        <w:rPr/>
      </w:pPr>
      <w:r>
        <w:rPr>
          <w:sz w:val="22"/>
          <w:szCs w:val="22"/>
        </w:rPr>
        <w:t>URBROJ: 2140-23-1-24-05</w:t>
      </w:r>
    </w:p>
    <w:p>
      <w:pPr>
        <w:pStyle w:val="Normal"/>
        <w:rPr/>
      </w:pPr>
      <w:r>
        <w:rPr>
          <w:sz w:val="22"/>
          <w:szCs w:val="22"/>
        </w:rPr>
        <w:t>Mihovljan, 11. rujna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Na temelju članka 72. Zakona o komunalnom gospodarstvu („Narodne novine“ broj 68/18 i 110/18, 32/20) i članka 39. Statuta Općine Mihovljan („Službeni glasnik Krapinsko-zagorske županije“ br. 5/13, 11/18, 8/20, 8/21), Općinsko vijeće Općine Mihovljan na svojoj 2</w:t>
      </w:r>
      <w:r>
        <w:rPr>
          <w:sz w:val="22"/>
          <w:szCs w:val="22"/>
        </w:rPr>
        <w:t>6</w:t>
      </w:r>
      <w:r>
        <w:rPr>
          <w:sz w:val="22"/>
          <w:szCs w:val="22"/>
        </w:rPr>
        <w:t>. sjednici održanoj dana 11. rujna 2024. godine, donijelo je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A"/>
          <w:sz w:val="22"/>
          <w:szCs w:val="22"/>
        </w:rPr>
        <w:t>IZVRŠENJE PROGRAMA ODRŽAVANJA OBJEKATA KOMUNALNE INFRASTRUKTURE NA PODRUČJU OPĆINE MIHOVLJAN ZA RAZDOBLJE 01.01.-30.06.2024. GODINE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Ovim Programom održavanja komunalne infrastrukture u 2024. godini na području Općine Mihovljan u skladu s predvidivim sredstvima i izvorima financiranja, određuju radovi na održavanju objekata i uređaja komunalne infrastrukture koji se razumijevaju obavljanjem komunalnih djelatnosti: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održavanja nerazvrstanih cesta i javno prometnih površina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održavanja javnih zelenih površina i parkova 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održavanja groblja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javne rasvjete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2.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Ovim se Programom utvrđuje opis i opseg poslova održavanja s procjenom pojedinih troškova, po djelatnostima, te iskaz financijskih sredstava potrebnih za ostvarivanje Programa s naznakom izvora financiranja. Program održavanja komunalne infrastrukture u 2024. godini izrađen je u skladu s predvidivim sredstvima i izvornima financiranja utvrđenih Proračunom Općine Mihovljan za 2024. godinu.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Sredstva za ostvarivanje Programa održavanja komunalne infrastrukture u 2024. godini planirana su u iznosu od 127.300,00 EUR, a osigurat će se iz sljedećih izvora: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"/>
        <w:gridCol w:w="478"/>
        <w:gridCol w:w="3"/>
        <w:gridCol w:w="5787"/>
        <w:gridCol w:w="1575"/>
        <w:gridCol w:w="8"/>
        <w:gridCol w:w="1607"/>
      </w:tblGrid>
      <w:tr>
        <w:trPr/>
        <w:tc>
          <w:tcPr>
            <w:tcW w:w="469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R.b.</w:t>
            </w:r>
          </w:p>
        </w:tc>
        <w:tc>
          <w:tcPr>
            <w:tcW w:w="579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75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ukupno (EUR)</w:t>
            </w:r>
          </w:p>
        </w:tc>
        <w:tc>
          <w:tcPr>
            <w:tcW w:w="16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Izvršeno  (EUR)</w:t>
            </w:r>
          </w:p>
        </w:tc>
      </w:tr>
      <w:tr>
        <w:trPr/>
        <w:tc>
          <w:tcPr>
            <w:tcW w:w="95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370" w:type="dxa"/>
            <w:gridSpan w:val="3"/>
            <w:tcBorders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Opći prihodi i primici (61, 64, 681)</w:t>
            </w:r>
          </w:p>
        </w:tc>
        <w:tc>
          <w:tcPr>
            <w:tcW w:w="1607" w:type="dxa"/>
            <w:tcBorders/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9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9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poreza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85.150,00</w:t>
            </w:r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9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imovine (naknade za koncesiju)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3.500,00</w:t>
            </w:r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729,98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9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Kazne i upravne mjere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/>
        <w:tc>
          <w:tcPr>
            <w:tcW w:w="950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370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607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9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Groblje: prihod od davanja u  zakup grobnih mjesta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8.000,00</w:t>
            </w:r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1.327,23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9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Groblje: prihod od izd. Rješenja za gradnju betonskih okvira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sz w:val="22"/>
                <w:szCs w:val="22"/>
              </w:rPr>
            </w:pPr>
            <w:bookmarkStart w:id="0" w:name="__DdeLink__831_697091794"/>
            <w:r>
              <w:rPr>
                <w:rFonts w:cs="Times New Roman" w:ascii="Times New Roman" w:hAnsi="Times New Roman"/>
                <w:sz w:val="22"/>
                <w:szCs w:val="22"/>
              </w:rPr>
              <w:t>600,00</w:t>
            </w:r>
            <w:bookmarkEnd w:id="0"/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238,92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9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Groblje: prihod od izd. Odobrenja za opločenje grobnih mjesta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108,29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9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Groblje: grobne usluge (usluge ukopa i ostale usluge)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12.000,00</w:t>
            </w:r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3.769,67</w:t>
            </w:r>
          </w:p>
        </w:tc>
      </w:tr>
      <w:tr>
        <w:trPr/>
        <w:tc>
          <w:tcPr>
            <w:tcW w:w="950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370" w:type="dxa"/>
            <w:gridSpan w:val="3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Prihodi za posebne namjene (651, 652, 653)</w:t>
            </w:r>
          </w:p>
        </w:tc>
        <w:tc>
          <w:tcPr>
            <w:tcW w:w="1607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69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9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Šumski doprinos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6,69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9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od grobne naknade</w:t>
            </w:r>
          </w:p>
        </w:tc>
        <w:tc>
          <w:tcPr>
            <w:tcW w:w="15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22.800,00</w:t>
            </w:r>
          </w:p>
        </w:tc>
        <w:tc>
          <w:tcPr>
            <w:tcW w:w="161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16.000,00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9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od komunalne naknade</w:t>
            </w:r>
          </w:p>
        </w:tc>
        <w:tc>
          <w:tcPr>
            <w:tcW w:w="15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  <w:tc>
          <w:tcPr>
            <w:tcW w:w="161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15.059,11</w:t>
            </w:r>
          </w:p>
        </w:tc>
      </w:tr>
      <w:tr>
        <w:trPr>
          <w:trHeight w:val="330" w:hRule="atLeast"/>
        </w:trPr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9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od komunalnog doprinosa</w:t>
            </w:r>
          </w:p>
        </w:tc>
        <w:tc>
          <w:tcPr>
            <w:tcW w:w="1575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615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9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</w:t>
            </w:r>
          </w:p>
        </w:tc>
        <w:tc>
          <w:tcPr>
            <w:tcW w:w="15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61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123,20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9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Refundacija građana za el. energiju za javnu rasvjetu</w:t>
            </w:r>
          </w:p>
        </w:tc>
        <w:tc>
          <w:tcPr>
            <w:tcW w:w="15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61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11,96</w:t>
            </w:r>
          </w:p>
        </w:tc>
      </w:tr>
      <w:tr>
        <w:trPr/>
        <w:tc>
          <w:tcPr>
            <w:tcW w:w="46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9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Sufinanciranje građana – uređenje odvodnih jaraka</w:t>
            </w:r>
          </w:p>
        </w:tc>
        <w:tc>
          <w:tcPr>
            <w:tcW w:w="15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61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/>
        <w:tc>
          <w:tcPr>
            <w:tcW w:w="469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9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575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167.300,00</w:t>
            </w:r>
          </w:p>
        </w:tc>
        <w:tc>
          <w:tcPr>
            <w:tcW w:w="1615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37.375,05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ab/>
        <w:t xml:space="preserve">Sredstva iz članka 3. ovog Programa utrošit će se za sljedeće namjene: 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ODRŽAVANJE NERAZVRSTANIH CESTA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3620"/>
        <w:gridCol w:w="1124"/>
        <w:gridCol w:w="1309"/>
        <w:gridCol w:w="2319"/>
        <w:gridCol w:w="991"/>
      </w:tblGrid>
      <w:tr>
        <w:trPr>
          <w:trHeight w:val="397" w:hRule="atLeast"/>
        </w:trPr>
        <w:tc>
          <w:tcPr>
            <w:tcW w:w="9997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ODRŽAVANJE NERAZVRSTANIH CESTA </w:t>
            </w:r>
          </w:p>
        </w:tc>
      </w:tr>
      <w:tr>
        <w:trPr>
          <w:trHeight w:val="397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Planirano  (EUR)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Izvršeno  (EUR)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 materijala po cestama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Prijevoz kamenog materijala, betonskih cijevi i sl.)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2.551,74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Općine=15.000,00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3232.11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 strojem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 na terenu (kopanje odvodnih jama, razgrtanje kamenog materijala, i ostali potrebni radovi na ugradnji kamenog materijala)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1.058,14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Općine=10.000,00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3232.12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Košnja bankina uz nerazvrstanu cestu i zemljišta u vl. Općine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Sukladno planovima mjesnih odbora i potreba na terenu (košenje/malčiranje bankina i pojasa cestovnog zemljišta, obrezivanje granja i raslinja, malčiranje javnih površina općine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17.000,00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6.635,00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Općine=17.000,00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(43- </w:t>
            </w:r>
            <w:bookmarkStart w:id="1" w:name="__DdeLink__1600_3760088224"/>
            <w:r>
              <w:rPr>
                <w:rFonts w:cs="Times New Roman" w:ascii="Times New Roman" w:hAnsi="Times New Roman"/>
                <w:sz w:val="16"/>
                <w:szCs w:val="16"/>
              </w:rPr>
              <w:t>prihodi za posebne namjene</w:t>
            </w:r>
            <w:bookmarkEnd w:id="1"/>
            <w:r>
              <w:rPr>
                <w:rFonts w:cs="Times New Roman"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3232.17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Izdaci za zimsku službu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i doprema soli i sitnog agregata, strojno čišćenje snijega, posipavanje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2.986,21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Općine=8.000,00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3234.90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 materijal za ceste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kamenog materijala raspoređuje se prema planovima mjesnih odbora i sukladno potrebama na terenu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4.577,42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Općine=12.000,00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3224.41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Cijevi za ceste i odvodnju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(betonske cijevi, kanalice,rešetke i sl.)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Općine=3.000,00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3224.42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Prometni znakovi, putokazi i prometna ogledala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(prometni znakovi,putokazi i prometna ogledala)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1.137,88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Općine=2.000,00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2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67.000,00</w:t>
            </w:r>
          </w:p>
        </w:tc>
        <w:tc>
          <w:tcPr>
            <w:tcW w:w="46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18.946,39</w:t>
            </w:r>
          </w:p>
        </w:tc>
      </w:tr>
    </w:tbl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ODRŽAVANJE JAVNIH ZELENIH POVRŠINA I PARKOVA</w:t>
      </w:r>
    </w:p>
    <w:p>
      <w:pPr>
        <w:pStyle w:val="Normal"/>
        <w:spacing w:lineRule="auto" w:line="264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Programom održavanja javnih zelenih površina na području Općine Mihovljan za 2024. godinu obuhvaćeni su svi uređeni dijelovi naselja Općine, a u ostalim naseljima uređeni parkovi i dječja igrališta.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>
      <w:pPr>
        <w:pStyle w:val="Normal"/>
        <w:spacing w:lineRule="auto" w:line="264"/>
        <w:jc w:val="both"/>
        <w:rPr/>
      </w:pPr>
      <w:r>
        <w:rPr>
          <w:sz w:val="22"/>
          <w:szCs w:val="22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3620"/>
        <w:gridCol w:w="1124"/>
        <w:gridCol w:w="1309"/>
        <w:gridCol w:w="2319"/>
        <w:gridCol w:w="991"/>
      </w:tblGrid>
      <w:tr>
        <w:trPr>
          <w:trHeight w:val="397" w:hRule="atLeast"/>
        </w:trPr>
        <w:tc>
          <w:tcPr>
            <w:tcW w:w="9997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ODRŽAVANJE JAVNIH ZELENIH POVRŠINA</w:t>
            </w:r>
          </w:p>
        </w:tc>
      </w:tr>
      <w:tr>
        <w:trPr>
          <w:trHeight w:val="397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ukupno (EUR)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Izvršenje  (EUR)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Uređenje odvodnih jaraka (koji nisu u nadležnosti hr voda)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Strojni iskop odvodnih jaraka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 1.000,00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 1.000,00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3232.13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Sanacija divljih odlagališta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čišćenje i odvoz smeća sa divljih deponija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Općine=1.500,00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3234.41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Tekuće uređenje centra Mihovljana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Košnja, flaksanje, čišćenje, sadnja cvijeća, obrezivanje drveća, zalijevanje, prskanje, nabava žardinjera, parkovnog cvijeća, zemlje, nabava i popravak klupa, košara za otpad i sl.  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957,11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Općine=5.000,00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(31 -vlastiti prihodi)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3224.46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62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Stari grad – uređenje zemljišta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 strojem, košenje, flakasanje i sl.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Općine=5.000,00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3232.14</w:t>
            </w:r>
          </w:p>
        </w:tc>
      </w:tr>
      <w:tr>
        <w:trPr>
          <w:trHeight w:val="340" w:hRule="atLeast"/>
        </w:trPr>
        <w:tc>
          <w:tcPr>
            <w:tcW w:w="634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620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Uređenje raspela uz nerazvrstane ceste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Uređenje zelene površine, dovoz zemlje, sijanje trave i bilja/cvijeća, uređenje raspela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309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9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Općine=10.000,00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6"/>
                <w:szCs w:val="16"/>
              </w:rPr>
              <w:t>3232.24</w:t>
            </w:r>
          </w:p>
        </w:tc>
      </w:tr>
      <w:tr>
        <w:trPr>
          <w:trHeight w:val="340" w:hRule="atLeast"/>
        </w:trPr>
        <w:tc>
          <w:tcPr>
            <w:tcW w:w="634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3620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– uređenje zelene površine (kraj šetnice)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Uređenje zelene površine, dovoz zemlje,sijanje trave, sadnja drveća i bilja/cvijeća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309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2.333,40</w:t>
            </w:r>
          </w:p>
        </w:tc>
        <w:tc>
          <w:tcPr>
            <w:tcW w:w="2319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Općine=6.000,00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6"/>
                <w:szCs w:val="16"/>
              </w:rPr>
              <w:t>3232.27</w:t>
            </w:r>
          </w:p>
        </w:tc>
      </w:tr>
      <w:tr>
        <w:trPr>
          <w:trHeight w:val="340" w:hRule="atLeast"/>
        </w:trPr>
        <w:tc>
          <w:tcPr>
            <w:tcW w:w="634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3620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javnih površina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Uređenje zelene površine, dovoz zemlje,sijanje trave, sadnja drveća i bilja/cvijeća, košnja, flaksanje i sl.</w:t>
            </w:r>
          </w:p>
        </w:tc>
        <w:tc>
          <w:tcPr>
            <w:tcW w:w="1124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309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9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Općine=8.000,00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6"/>
                <w:szCs w:val="16"/>
              </w:rPr>
              <w:t>3234.93</w:t>
            </w:r>
          </w:p>
        </w:tc>
      </w:tr>
      <w:tr>
        <w:trPr>
          <w:trHeight w:val="340" w:hRule="atLeast"/>
        </w:trPr>
        <w:tc>
          <w:tcPr>
            <w:tcW w:w="6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24" w:type="dxa"/>
            <w:tcBorders>
              <w:top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37.500,00</w:t>
            </w:r>
          </w:p>
        </w:tc>
        <w:tc>
          <w:tcPr>
            <w:tcW w:w="4619" w:type="dxa"/>
            <w:gridSpan w:val="3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3.920,51 </w:t>
            </w:r>
          </w:p>
        </w:tc>
      </w:tr>
    </w:tbl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ODRŽAVANJE GROBLJA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ab/>
        <w:t>Pod održavanjem groblja podrazumijeva se održavanje prostora i zgrada za obavljanje ispraćaja i ukopa pokojnika te uređivanje putova, zelenih i drugih površina unutar groblja.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685"/>
        <w:gridCol w:w="1124"/>
        <w:gridCol w:w="1309"/>
        <w:gridCol w:w="2319"/>
        <w:gridCol w:w="993"/>
      </w:tblGrid>
      <w:tr>
        <w:trPr>
          <w:trHeight w:val="397" w:hRule="atLeast"/>
        </w:trPr>
        <w:tc>
          <w:tcPr>
            <w:tcW w:w="9997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ODRŽAVANJE GROBLJA</w:t>
            </w:r>
          </w:p>
        </w:tc>
      </w:tr>
      <w:tr>
        <w:trPr>
          <w:trHeight w:val="397" w:hRule="atLeast"/>
        </w:trPr>
        <w:tc>
          <w:tcPr>
            <w:tcW w:w="56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36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ukupno (EUR)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Izvršenje  (EUR)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56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 materijala – mjesno groblje Mihovljan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Dovoz kamenog materijala za staze na groblju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Općine=400,00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3232.10</w:t>
            </w:r>
          </w:p>
        </w:tc>
      </w:tr>
      <w:tr>
        <w:trPr>
          <w:trHeight w:val="340" w:hRule="atLeast"/>
        </w:trPr>
        <w:tc>
          <w:tcPr>
            <w:tcW w:w="56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 materijal – mjesno groblje Mihovljan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Kameni materijal za staze na groblju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Općine=400,00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3224.40</w:t>
            </w:r>
          </w:p>
        </w:tc>
      </w:tr>
      <w:tr>
        <w:trPr>
          <w:trHeight w:val="340" w:hRule="atLeast"/>
        </w:trPr>
        <w:tc>
          <w:tcPr>
            <w:tcW w:w="56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6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Izdaci za odvoz smeća (kontejnera) sa mjesnog groblja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Odvoz smeća u kontejnerima sa mjesnog groblja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3.570,00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Općine=10.000,00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3234.21</w:t>
            </w:r>
          </w:p>
        </w:tc>
      </w:tr>
      <w:tr>
        <w:trPr>
          <w:trHeight w:val="340" w:hRule="atLeast"/>
        </w:trPr>
        <w:tc>
          <w:tcPr>
            <w:tcW w:w="56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68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Održavanje Mjesnog groblja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 i  usluga vezanih za groblje i usl.ukopa</w:t>
            </w:r>
          </w:p>
        </w:tc>
        <w:tc>
          <w:tcPr>
            <w:tcW w:w="1124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12.000,00</w:t>
            </w:r>
          </w:p>
        </w:tc>
        <w:tc>
          <w:tcPr>
            <w:tcW w:w="130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5.813,62</w:t>
            </w:r>
          </w:p>
        </w:tc>
        <w:tc>
          <w:tcPr>
            <w:tcW w:w="231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Općine=12.000,00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(31- vlastiti prihodi)</w:t>
            </w:r>
          </w:p>
        </w:tc>
        <w:tc>
          <w:tcPr>
            <w:tcW w:w="99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3234.98</w:t>
            </w:r>
          </w:p>
        </w:tc>
      </w:tr>
      <w:tr>
        <w:trPr>
          <w:trHeight w:val="340" w:hRule="atLeast"/>
        </w:trPr>
        <w:tc>
          <w:tcPr>
            <w:tcW w:w="5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2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22.800,00</w:t>
            </w:r>
          </w:p>
        </w:tc>
        <w:tc>
          <w:tcPr>
            <w:tcW w:w="462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9.383,62</w:t>
            </w:r>
          </w:p>
        </w:tc>
      </w:tr>
    </w:tbl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/>
      </w:pPr>
      <w:r>
        <w:rPr>
          <w:b/>
          <w:sz w:val="22"/>
          <w:szCs w:val="22"/>
        </w:rPr>
        <w:t>4. ODRŽAVANJE JAVNE RASVJETE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ab/>
        <w:t>Pod održavanjem javne rasvjete podrazumijeva se upravljanje i održavanje instalacija javne rasvjete; uključujući podmirivanje troškova električne energije za javnu rasvjetu,  za rasvjetljivanje površina javne namjene.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3696"/>
        <w:gridCol w:w="1124"/>
        <w:gridCol w:w="1309"/>
        <w:gridCol w:w="2319"/>
        <w:gridCol w:w="991"/>
      </w:tblGrid>
      <w:tr>
        <w:trPr>
          <w:trHeight w:val="397" w:hRule="atLeast"/>
        </w:trPr>
        <w:tc>
          <w:tcPr>
            <w:tcW w:w="9997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ODRŽAVANJE JAVNE RASVJETE</w:t>
            </w:r>
          </w:p>
        </w:tc>
      </w:tr>
      <w:tr>
        <w:trPr>
          <w:trHeight w:val="397" w:hRule="atLeast"/>
        </w:trPr>
        <w:tc>
          <w:tcPr>
            <w:tcW w:w="55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36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ukupno (EUR)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Izvršenje  (EUR)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55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6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Izdaci za održavanje javne rasvjete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Usluga postave i izmjene rasvjetnih tijela/LED rasvjeta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2.437,50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Općine=7.000,00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3232.21</w:t>
            </w:r>
          </w:p>
        </w:tc>
      </w:tr>
      <w:tr>
        <w:trPr>
          <w:trHeight w:val="340" w:hRule="atLeast"/>
        </w:trPr>
        <w:tc>
          <w:tcPr>
            <w:tcW w:w="55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6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Dijelovi za javnu rasvjetu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led rasvjeta i ostalog materijala potrebnog  za održavanje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Općine=3.000,00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3224.44</w:t>
            </w:r>
          </w:p>
        </w:tc>
      </w:tr>
      <w:tr>
        <w:trPr>
          <w:trHeight w:val="340" w:hRule="atLeast"/>
        </w:trPr>
        <w:tc>
          <w:tcPr>
            <w:tcW w:w="55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6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Trošak električne energije za javnu rasvjetu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potrošnja električne energije za javnu rasvjetu </w:t>
            </w:r>
          </w:p>
        </w:tc>
        <w:tc>
          <w:tcPr>
            <w:tcW w:w="112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30.000,00</w:t>
            </w:r>
          </w:p>
        </w:tc>
        <w:tc>
          <w:tcPr>
            <w:tcW w:w="130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2.687,03</w:t>
            </w:r>
          </w:p>
        </w:tc>
        <w:tc>
          <w:tcPr>
            <w:tcW w:w="231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Općine=30.000,00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9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3223.11</w:t>
            </w:r>
          </w:p>
        </w:tc>
      </w:tr>
      <w:tr>
        <w:trPr>
          <w:trHeight w:val="340" w:hRule="atLeast"/>
        </w:trPr>
        <w:tc>
          <w:tcPr>
            <w:tcW w:w="5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2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40.000,00</w:t>
            </w:r>
          </w:p>
        </w:tc>
        <w:tc>
          <w:tcPr>
            <w:tcW w:w="46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5.124,53</w:t>
            </w:r>
          </w:p>
        </w:tc>
      </w:tr>
    </w:tbl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567"/>
        <w:jc w:val="both"/>
        <w:rPr/>
      </w:pPr>
      <w:r>
        <w:rPr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</w:p>
    <w:p>
      <w:pPr>
        <w:pStyle w:val="Normal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mr. Silvestar Vučković dr.vet.med.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 xml:space="preserve">Ministarstvo financija, Katančićeva 5, 10000 Zagreb,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707" w:header="0" w:top="314" w:footer="0" w:bottom="3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c48a3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bc48a3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f34cb5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180f15"/>
    <w:rPr>
      <w:color w:val="0000FF" w:themeColor="hyperlink"/>
      <w:u w:val="single"/>
    </w:rPr>
  </w:style>
  <w:style w:type="character" w:styleId="ListLabel1" w:customStyle="1">
    <w:name w:val="ListLabel 1"/>
    <w:qFormat/>
    <w:rsid w:val="008733f4"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sid w:val="008733f4"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sid w:val="008733f4"/>
    <w:rPr>
      <w:rFonts w:ascii="Arial Narrow" w:hAnsi="Arial Narrow" w:cs="Tahoma"/>
      <w:sz w:val="22"/>
      <w:szCs w:val="22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character" w:styleId="ListLabel11">
    <w:name w:val="ListLabel 11"/>
    <w:qFormat/>
    <w:rPr>
      <w:sz w:val="20"/>
      <w:szCs w:val="20"/>
    </w:rPr>
  </w:style>
  <w:style w:type="character" w:styleId="ListLabel200">
    <w:name w:val="ListLabel 200"/>
    <w:qFormat/>
    <w:rPr>
      <w:rFonts w:cs="Wingdings"/>
    </w:rPr>
  </w:style>
  <w:style w:type="character" w:styleId="ListLabel199">
    <w:name w:val="ListLabel 199"/>
    <w:qFormat/>
    <w:rPr>
      <w:rFonts w:cs="Courier New"/>
    </w:rPr>
  </w:style>
  <w:style w:type="character" w:styleId="ListLabel198">
    <w:name w:val="ListLabel 198"/>
    <w:qFormat/>
    <w:rPr>
      <w:rFonts w:cs="Symbol"/>
    </w:rPr>
  </w:style>
  <w:style w:type="character" w:styleId="ListLabel197">
    <w:name w:val="ListLabel 197"/>
    <w:qFormat/>
    <w:rPr>
      <w:rFonts w:cs="Wingdings"/>
    </w:rPr>
  </w:style>
  <w:style w:type="character" w:styleId="ListLabel196">
    <w:name w:val="ListLabel 196"/>
    <w:qFormat/>
    <w:rPr>
      <w:rFonts w:cs="Courier New"/>
    </w:rPr>
  </w:style>
  <w:style w:type="character" w:styleId="ListLabel195">
    <w:name w:val="ListLabel 195"/>
    <w:qFormat/>
    <w:rPr>
      <w:rFonts w:cs="Symbol"/>
    </w:rPr>
  </w:style>
  <w:style w:type="character" w:styleId="ListLabel194">
    <w:name w:val="ListLabel 194"/>
    <w:qFormat/>
    <w:rPr>
      <w:rFonts w:cs="Wingdings"/>
    </w:rPr>
  </w:style>
  <w:style w:type="character" w:styleId="ListLabel193">
    <w:name w:val="ListLabel 193"/>
    <w:qFormat/>
    <w:rPr>
      <w:rFonts w:cs="Courier New"/>
    </w:rPr>
  </w:style>
  <w:style w:type="character" w:styleId="ListLabel192">
    <w:name w:val="ListLabel 192"/>
    <w:qFormat/>
    <w:rPr>
      <w:rFonts w:cs="Times New Roman"/>
      <w:sz w:val="22"/>
    </w:rPr>
  </w:style>
  <w:style w:type="character" w:styleId="ListLabel191">
    <w:name w:val="ListLabel 191"/>
    <w:qFormat/>
    <w:rPr>
      <w:rFonts w:cs="Wingdings"/>
    </w:rPr>
  </w:style>
  <w:style w:type="character" w:styleId="ListLabel190">
    <w:name w:val="ListLabel 190"/>
    <w:qFormat/>
    <w:rPr>
      <w:rFonts w:cs="Courier New"/>
    </w:rPr>
  </w:style>
  <w:style w:type="character" w:styleId="ListLabel189">
    <w:name w:val="ListLabel 189"/>
    <w:qFormat/>
    <w:rPr>
      <w:rFonts w:cs="Symbol"/>
    </w:rPr>
  </w:style>
  <w:style w:type="character" w:styleId="ListLabel188">
    <w:name w:val="ListLabel 188"/>
    <w:qFormat/>
    <w:rPr>
      <w:rFonts w:cs="Wingdings"/>
    </w:rPr>
  </w:style>
  <w:style w:type="character" w:styleId="ListLabel187">
    <w:name w:val="ListLabel 187"/>
    <w:qFormat/>
    <w:rPr>
      <w:rFonts w:cs="Courier New"/>
    </w:rPr>
  </w:style>
  <w:style w:type="character" w:styleId="ListLabel186">
    <w:name w:val="ListLabel 186"/>
    <w:qFormat/>
    <w:rPr>
      <w:rFonts w:cs="Symbol"/>
    </w:rPr>
  </w:style>
  <w:style w:type="character" w:styleId="ListLabel185">
    <w:name w:val="ListLabel 185"/>
    <w:qFormat/>
    <w:rPr>
      <w:rFonts w:cs="Wingdings"/>
    </w:rPr>
  </w:style>
  <w:style w:type="character" w:styleId="ListLabel184">
    <w:name w:val="ListLabel 184"/>
    <w:qFormat/>
    <w:rPr>
      <w:rFonts w:cs="Courier New"/>
    </w:rPr>
  </w:style>
  <w:style w:type="character" w:styleId="ListLabel183">
    <w:name w:val="ListLabel 183"/>
    <w:qFormat/>
    <w:rPr>
      <w:rFonts w:cs="Times New Roman"/>
      <w:sz w:val="22"/>
    </w:rPr>
  </w:style>
  <w:style w:type="character" w:styleId="ListLabel182">
    <w:name w:val="ListLabel 182"/>
    <w:qFormat/>
    <w:rPr>
      <w:rFonts w:cs="Wingdings"/>
    </w:rPr>
  </w:style>
  <w:style w:type="character" w:styleId="ListLabel181">
    <w:name w:val="ListLabel 181"/>
    <w:qFormat/>
    <w:rPr>
      <w:rFonts w:cs="Courier New"/>
    </w:rPr>
  </w:style>
  <w:style w:type="character" w:styleId="ListLabel180">
    <w:name w:val="ListLabel 180"/>
    <w:qFormat/>
    <w:rPr>
      <w:rFonts w:cs="Symbol"/>
    </w:rPr>
  </w:style>
  <w:style w:type="character" w:styleId="ListLabel179">
    <w:name w:val="ListLabel 179"/>
    <w:qFormat/>
    <w:rPr>
      <w:rFonts w:cs="Wingdings"/>
    </w:rPr>
  </w:style>
  <w:style w:type="character" w:styleId="ListLabel178">
    <w:name w:val="ListLabel 178"/>
    <w:qFormat/>
    <w:rPr>
      <w:rFonts w:cs="Courier New"/>
    </w:rPr>
  </w:style>
  <w:style w:type="character" w:styleId="ListLabel177">
    <w:name w:val="ListLabel 177"/>
    <w:qFormat/>
    <w:rPr>
      <w:rFonts w:cs="Symbol"/>
    </w:rPr>
  </w:style>
  <w:style w:type="character" w:styleId="ListLabel176">
    <w:name w:val="ListLabel 176"/>
    <w:qFormat/>
    <w:rPr>
      <w:rFonts w:cs="Wingdings"/>
    </w:rPr>
  </w:style>
  <w:style w:type="character" w:styleId="ListLabel175">
    <w:name w:val="ListLabel 175"/>
    <w:qFormat/>
    <w:rPr>
      <w:rFonts w:cs="Courier New"/>
    </w:rPr>
  </w:style>
  <w:style w:type="character" w:styleId="ListLabel174">
    <w:name w:val="ListLabel 174"/>
    <w:qFormat/>
    <w:rPr>
      <w:rFonts w:cs="Times New Roman"/>
      <w:sz w:val="22"/>
    </w:rPr>
  </w:style>
  <w:style w:type="character" w:styleId="ListLabel173">
    <w:name w:val="ListLabel 173"/>
    <w:qFormat/>
    <w:rPr>
      <w:rFonts w:cs="Wingdings"/>
    </w:rPr>
  </w:style>
  <w:style w:type="character" w:styleId="ListLabel172">
    <w:name w:val="ListLabel 172"/>
    <w:qFormat/>
    <w:rPr>
      <w:rFonts w:cs="Courier New"/>
    </w:rPr>
  </w:style>
  <w:style w:type="character" w:styleId="ListLabel171">
    <w:name w:val="ListLabel 171"/>
    <w:qFormat/>
    <w:rPr>
      <w:rFonts w:cs="Symbol"/>
    </w:rPr>
  </w:style>
  <w:style w:type="character" w:styleId="ListLabel170">
    <w:name w:val="ListLabel 170"/>
    <w:qFormat/>
    <w:rPr>
      <w:rFonts w:cs="Wingdings"/>
    </w:rPr>
  </w:style>
  <w:style w:type="character" w:styleId="ListLabel169">
    <w:name w:val="ListLabel 169"/>
    <w:qFormat/>
    <w:rPr>
      <w:rFonts w:cs="Courier New"/>
    </w:rPr>
  </w:style>
  <w:style w:type="character" w:styleId="ListLabel168">
    <w:name w:val="ListLabel 168"/>
    <w:qFormat/>
    <w:rPr>
      <w:rFonts w:cs="Symbol"/>
    </w:rPr>
  </w:style>
  <w:style w:type="character" w:styleId="ListLabel167">
    <w:name w:val="ListLabel 167"/>
    <w:qFormat/>
    <w:rPr>
      <w:rFonts w:cs="Wingdings"/>
    </w:rPr>
  </w:style>
  <w:style w:type="character" w:styleId="ListLabel166">
    <w:name w:val="ListLabel 166"/>
    <w:qFormat/>
    <w:rPr>
      <w:rFonts w:cs="Courier New"/>
    </w:rPr>
  </w:style>
  <w:style w:type="character" w:styleId="ListLabel165">
    <w:name w:val="ListLabel 165"/>
    <w:qFormat/>
    <w:rPr>
      <w:rFonts w:cs="Times New Roman"/>
      <w:sz w:val="22"/>
    </w:rPr>
  </w:style>
  <w:style w:type="character" w:styleId="ListLabel164">
    <w:name w:val="ListLabel 164"/>
    <w:qFormat/>
    <w:rPr>
      <w:rFonts w:cs="Wingdings"/>
    </w:rPr>
  </w:style>
  <w:style w:type="character" w:styleId="ListLabel163">
    <w:name w:val="ListLabel 163"/>
    <w:qFormat/>
    <w:rPr>
      <w:rFonts w:cs="Courier New"/>
    </w:rPr>
  </w:style>
  <w:style w:type="character" w:styleId="ListLabel162">
    <w:name w:val="ListLabel 162"/>
    <w:qFormat/>
    <w:rPr>
      <w:rFonts w:cs="Symbol"/>
    </w:rPr>
  </w:style>
  <w:style w:type="character" w:styleId="ListLabel161">
    <w:name w:val="ListLabel 161"/>
    <w:qFormat/>
    <w:rPr>
      <w:rFonts w:cs="Wingdings"/>
    </w:rPr>
  </w:style>
  <w:style w:type="character" w:styleId="ListLabel160">
    <w:name w:val="ListLabel 160"/>
    <w:qFormat/>
    <w:rPr>
      <w:rFonts w:cs="Courier New"/>
    </w:rPr>
  </w:style>
  <w:style w:type="character" w:styleId="ListLabel159">
    <w:name w:val="ListLabel 159"/>
    <w:qFormat/>
    <w:rPr>
      <w:rFonts w:cs="Symbol"/>
    </w:rPr>
  </w:style>
  <w:style w:type="character" w:styleId="ListLabel158">
    <w:name w:val="ListLabel 158"/>
    <w:qFormat/>
    <w:rPr>
      <w:rFonts w:cs="Wingdings"/>
    </w:rPr>
  </w:style>
  <w:style w:type="character" w:styleId="ListLabel157">
    <w:name w:val="ListLabel 157"/>
    <w:qFormat/>
    <w:rPr>
      <w:rFonts w:cs="Courier New"/>
    </w:rPr>
  </w:style>
  <w:style w:type="character" w:styleId="ListLabel156">
    <w:name w:val="ListLabel 156"/>
    <w:qFormat/>
    <w:rPr>
      <w:rFonts w:cs="Times New Roman"/>
      <w:sz w:val="22"/>
    </w:rPr>
  </w:style>
  <w:style w:type="character" w:styleId="ListLabel155">
    <w:name w:val="ListLabel 155"/>
    <w:qFormat/>
    <w:rPr>
      <w:rFonts w:cs="Wingdings"/>
    </w:rPr>
  </w:style>
  <w:style w:type="character" w:styleId="ListLabel154">
    <w:name w:val="ListLabel 154"/>
    <w:qFormat/>
    <w:rPr>
      <w:rFonts w:cs="Courier New"/>
    </w:rPr>
  </w:style>
  <w:style w:type="character" w:styleId="ListLabel153">
    <w:name w:val="ListLabel 153"/>
    <w:qFormat/>
    <w:rPr>
      <w:rFonts w:cs="Symbol"/>
    </w:rPr>
  </w:style>
  <w:style w:type="character" w:styleId="ListLabel152">
    <w:name w:val="ListLabel 152"/>
    <w:qFormat/>
    <w:rPr>
      <w:rFonts w:cs="Wingdings"/>
    </w:rPr>
  </w:style>
  <w:style w:type="character" w:styleId="ListLabel151">
    <w:name w:val="ListLabel 151"/>
    <w:qFormat/>
    <w:rPr>
      <w:rFonts w:cs="Courier New"/>
    </w:rPr>
  </w:style>
  <w:style w:type="character" w:styleId="ListLabel150">
    <w:name w:val="ListLabel 150"/>
    <w:qFormat/>
    <w:rPr>
      <w:rFonts w:cs="Symbol"/>
    </w:rPr>
  </w:style>
  <w:style w:type="character" w:styleId="ListLabel149">
    <w:name w:val="ListLabel 149"/>
    <w:qFormat/>
    <w:rPr>
      <w:rFonts w:cs="Wingdings"/>
    </w:rPr>
  </w:style>
  <w:style w:type="character" w:styleId="ListLabel148">
    <w:name w:val="ListLabel 148"/>
    <w:qFormat/>
    <w:rPr>
      <w:rFonts w:cs="Courier New"/>
    </w:rPr>
  </w:style>
  <w:style w:type="character" w:styleId="ListLabel147">
    <w:name w:val="ListLabel 147"/>
    <w:qFormat/>
    <w:rPr>
      <w:rFonts w:cs="Times New Roman"/>
      <w:sz w:val="22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4">
    <w:name w:val="ListLabel 144"/>
    <w:qFormat/>
    <w:rPr>
      <w:rFonts w:cs="Symbol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Courier New"/>
    </w:rPr>
  </w:style>
  <w:style w:type="character" w:styleId="ListLabel141">
    <w:name w:val="ListLabel 141"/>
    <w:qFormat/>
    <w:rPr>
      <w:rFonts w:cs="Symbol"/>
    </w:rPr>
  </w:style>
  <w:style w:type="character" w:styleId="ListLabel140">
    <w:name w:val="ListLabel 140"/>
    <w:qFormat/>
    <w:rPr>
      <w:rFonts w:cs="Wingdings"/>
    </w:rPr>
  </w:style>
  <w:style w:type="character" w:styleId="ListLabel139">
    <w:name w:val="ListLabel 139"/>
    <w:qFormat/>
    <w:rPr>
      <w:rFonts w:cs="Courier New"/>
    </w:rPr>
  </w:style>
  <w:style w:type="character" w:styleId="ListLabel138">
    <w:name w:val="ListLabel 138"/>
    <w:qFormat/>
    <w:rPr>
      <w:rFonts w:cs="Times New Roman"/>
      <w:sz w:val="22"/>
    </w:rPr>
  </w:style>
  <w:style w:type="character" w:styleId="ListLabel137">
    <w:name w:val="ListLabel 137"/>
    <w:qFormat/>
    <w:rPr>
      <w:rFonts w:cs="Wingdings"/>
    </w:rPr>
  </w:style>
  <w:style w:type="character" w:styleId="ListLabel136">
    <w:name w:val="ListLabel 136"/>
    <w:qFormat/>
    <w:rPr>
      <w:rFonts w:cs="Courier New"/>
    </w:rPr>
  </w:style>
  <w:style w:type="character" w:styleId="ListLabel135">
    <w:name w:val="ListLabel 135"/>
    <w:qFormat/>
    <w:rPr>
      <w:rFonts w:cs="Symbol"/>
    </w:rPr>
  </w:style>
  <w:style w:type="character" w:styleId="ListLabel134">
    <w:name w:val="ListLabel 134"/>
    <w:qFormat/>
    <w:rPr>
      <w:rFonts w:cs="Wingdings"/>
    </w:rPr>
  </w:style>
  <w:style w:type="character" w:styleId="ListLabel133">
    <w:name w:val="ListLabel 133"/>
    <w:qFormat/>
    <w:rPr>
      <w:rFonts w:cs="Courier New"/>
    </w:rPr>
  </w:style>
  <w:style w:type="character" w:styleId="ListLabel132">
    <w:name w:val="ListLabel 132"/>
    <w:qFormat/>
    <w:rPr>
      <w:rFonts w:cs="Symbol"/>
    </w:rPr>
  </w:style>
  <w:style w:type="character" w:styleId="ListLabel131">
    <w:name w:val="ListLabel 131"/>
    <w:qFormat/>
    <w:rPr>
      <w:rFonts w:cs="Wingdings"/>
    </w:rPr>
  </w:style>
  <w:style w:type="character" w:styleId="ListLabel130">
    <w:name w:val="ListLabel 130"/>
    <w:qFormat/>
    <w:rPr>
      <w:rFonts w:cs="Courier New"/>
    </w:rPr>
  </w:style>
  <w:style w:type="character" w:styleId="ListLabel129">
    <w:name w:val="ListLabel 129"/>
    <w:qFormat/>
    <w:rPr>
      <w:rFonts w:cs="Times New Roman"/>
      <w:sz w:val="22"/>
    </w:rPr>
  </w:style>
  <w:style w:type="character" w:styleId="ListLabel128">
    <w:name w:val="ListLabel 128"/>
    <w:qFormat/>
    <w:rPr>
      <w:rFonts w:cs="Wingdings"/>
    </w:rPr>
  </w:style>
  <w:style w:type="character" w:styleId="ListLabel127">
    <w:name w:val="ListLabel 127"/>
    <w:qFormat/>
    <w:rPr>
      <w:rFonts w:cs="Courier New"/>
    </w:rPr>
  </w:style>
  <w:style w:type="character" w:styleId="ListLabel126">
    <w:name w:val="ListLabel 126"/>
    <w:qFormat/>
    <w:rPr>
      <w:rFonts w:cs="Symbol"/>
    </w:rPr>
  </w:style>
  <w:style w:type="character" w:styleId="ListLabel125">
    <w:name w:val="ListLabel 125"/>
    <w:qFormat/>
    <w:rPr>
      <w:rFonts w:cs="Wingdings"/>
    </w:rPr>
  </w:style>
  <w:style w:type="character" w:styleId="ListLabel124">
    <w:name w:val="ListLabel 124"/>
    <w:qFormat/>
    <w:rPr>
      <w:rFonts w:cs="Courier New"/>
    </w:rPr>
  </w:style>
  <w:style w:type="character" w:styleId="ListLabel123">
    <w:name w:val="ListLabel 123"/>
    <w:qFormat/>
    <w:rPr>
      <w:rFonts w:cs="Symbol"/>
    </w:rPr>
  </w:style>
  <w:style w:type="character" w:styleId="ListLabel122">
    <w:name w:val="ListLabel 122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19">
    <w:name w:val="ListLabel 119"/>
    <w:qFormat/>
    <w:rPr>
      <w:rFonts w:cs="Wingdings"/>
    </w:rPr>
  </w:style>
  <w:style w:type="character" w:styleId="ListLabel118">
    <w:name w:val="ListLabel 118"/>
    <w:qFormat/>
    <w:rPr>
      <w:rFonts w:cs="Courier New"/>
    </w:rPr>
  </w:style>
  <w:style w:type="character" w:styleId="ListLabel117">
    <w:name w:val="ListLabel 117"/>
    <w:qFormat/>
    <w:rPr>
      <w:rFonts w:cs="Symbol"/>
    </w:rPr>
  </w:style>
  <w:style w:type="character" w:styleId="ListLabel116">
    <w:name w:val="ListLabel 116"/>
    <w:qFormat/>
    <w:rPr>
      <w:rFonts w:cs="Wingdings"/>
    </w:rPr>
  </w:style>
  <w:style w:type="character" w:styleId="ListLabel115">
    <w:name w:val="ListLabel 115"/>
    <w:qFormat/>
    <w:rPr>
      <w:rFonts w:cs="Courier New"/>
    </w:rPr>
  </w:style>
  <w:style w:type="character" w:styleId="ListLabel114">
    <w:name w:val="ListLabel 114"/>
    <w:qFormat/>
    <w:rPr>
      <w:rFonts w:cs="Symbol"/>
    </w:rPr>
  </w:style>
  <w:style w:type="character" w:styleId="ListLabel113">
    <w:name w:val="ListLabel 113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0">
    <w:name w:val="ListLabel 110"/>
    <w:qFormat/>
    <w:rPr>
      <w:rFonts w:cs="Wingdings"/>
    </w:rPr>
  </w:style>
  <w:style w:type="character" w:styleId="ListLabel109">
    <w:name w:val="ListLabel 109"/>
    <w:qFormat/>
    <w:rPr>
      <w:rFonts w:cs="Courier New"/>
    </w:rPr>
  </w:style>
  <w:style w:type="character" w:styleId="ListLabel108">
    <w:name w:val="ListLabel 108"/>
    <w:qFormat/>
    <w:rPr>
      <w:rFonts w:cs="Symbol"/>
    </w:rPr>
  </w:style>
  <w:style w:type="character" w:styleId="ListLabel107">
    <w:name w:val="ListLabel 107"/>
    <w:qFormat/>
    <w:rPr>
      <w:rFonts w:cs="Wingdings"/>
    </w:rPr>
  </w:style>
  <w:style w:type="character" w:styleId="ListLabel106">
    <w:name w:val="ListLabel 106"/>
    <w:qFormat/>
    <w:rPr>
      <w:rFonts w:cs="Courier New"/>
    </w:rPr>
  </w:style>
  <w:style w:type="character" w:styleId="ListLabel105">
    <w:name w:val="ListLabel 105"/>
    <w:qFormat/>
    <w:rPr>
      <w:rFonts w:cs="Symbol"/>
    </w:rPr>
  </w:style>
  <w:style w:type="character" w:styleId="ListLabel104">
    <w:name w:val="ListLabel 104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1">
    <w:name w:val="ListLabel 101"/>
    <w:qFormat/>
    <w:rPr>
      <w:rFonts w:cs="Wingdings"/>
    </w:rPr>
  </w:style>
  <w:style w:type="character" w:styleId="ListLabel100">
    <w:name w:val="ListLabel 100"/>
    <w:qFormat/>
    <w:rPr>
      <w:rFonts w:cs="Courier New"/>
    </w:rPr>
  </w:style>
  <w:style w:type="character" w:styleId="ListLabel99">
    <w:name w:val="ListLabel 99"/>
    <w:qFormat/>
    <w:rPr>
      <w:rFonts w:cs="Symbol"/>
    </w:rPr>
  </w:style>
  <w:style w:type="character" w:styleId="ListLabel98">
    <w:name w:val="ListLabel 98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6">
    <w:name w:val="ListLabel 96"/>
    <w:qFormat/>
    <w:rPr>
      <w:rFonts w:cs="Symbol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79">
    <w:name w:val="ListLabel 79"/>
    <w:qFormat/>
    <w:rPr>
      <w:rFonts w:cs="Wingdings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Symbol"/>
    </w:rPr>
  </w:style>
  <w:style w:type="character" w:styleId="ListLabel76">
    <w:name w:val="ListLabel 76"/>
    <w:qFormat/>
    <w:rPr>
      <w:rFonts w:cs="Wingdings"/>
    </w:rPr>
  </w:style>
  <w:style w:type="character" w:styleId="ListLabel75">
    <w:name w:val="ListLabel 75"/>
    <w:qFormat/>
    <w:rPr>
      <w:rFonts w:cs="Courier New"/>
    </w:rPr>
  </w:style>
  <w:style w:type="character" w:styleId="ListLabel74">
    <w:name w:val="ListLabel 74"/>
    <w:qFormat/>
    <w:rPr>
      <w:rFonts w:cs="Symbol"/>
    </w:rPr>
  </w:style>
  <w:style w:type="character" w:styleId="ListLabel73">
    <w:name w:val="ListLabel 73"/>
    <w:qFormat/>
    <w:rPr>
      <w:rFonts w:cs="Wingdings"/>
    </w:rPr>
  </w:style>
  <w:style w:type="character" w:styleId="ListLabel72">
    <w:name w:val="ListLabel 72"/>
    <w:qFormat/>
    <w:rPr>
      <w:rFonts w:cs="Courier New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0">
    <w:name w:val="ListLabel 7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69">
    <w:name w:val="ListLabel 69"/>
    <w:qFormat/>
    <w:rPr>
      <w:rFonts w:cs="Wingdings"/>
    </w:rPr>
  </w:style>
  <w:style w:type="character" w:styleId="ListLabel68">
    <w:name w:val="ListLabel 68"/>
    <w:qFormat/>
    <w:rPr>
      <w:rFonts w:cs="Courier New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4">
    <w:name w:val="ListLabel 64"/>
    <w:qFormat/>
    <w:rPr>
      <w:rFonts w:cs="Symbol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ascii="Arial Narrow" w:hAnsi="Arial Narrow" w:cs="Segoe UI"/>
      <w:sz w:val="22"/>
    </w:rPr>
  </w:style>
  <w:style w:type="character" w:styleId="ListLabel60">
    <w:name w:val="ListLabel 6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59">
    <w:name w:val="ListLabel 59"/>
    <w:qFormat/>
    <w:rPr>
      <w:rFonts w:cs="Wingdings"/>
    </w:rPr>
  </w:style>
  <w:style w:type="character" w:styleId="ListLabel58">
    <w:name w:val="ListLabel 58"/>
    <w:qFormat/>
    <w:rPr>
      <w:rFonts w:cs="Courier New"/>
    </w:rPr>
  </w:style>
  <w:style w:type="character" w:styleId="ListLabel57">
    <w:name w:val="ListLabel 57"/>
    <w:qFormat/>
    <w:rPr>
      <w:rFonts w:cs="Symbol"/>
    </w:rPr>
  </w:style>
  <w:style w:type="character" w:styleId="ListLabel56">
    <w:name w:val="ListLabel 56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cs="Symbol"/>
    </w:rPr>
  </w:style>
  <w:style w:type="character" w:styleId="ListLabel53">
    <w:name w:val="ListLabel 53"/>
    <w:qFormat/>
    <w:rPr>
      <w:rFonts w:cs="Wingdings"/>
    </w:rPr>
  </w:style>
  <w:style w:type="character" w:styleId="ListLabel52">
    <w:name w:val="ListLabel 52"/>
    <w:qFormat/>
    <w:rPr>
      <w:rFonts w:cs="Courier New"/>
    </w:rPr>
  </w:style>
  <w:style w:type="character" w:styleId="ListLabel51">
    <w:name w:val="ListLabel 51"/>
    <w:qFormat/>
    <w:rPr>
      <w:rFonts w:ascii="Arial Narrow" w:hAnsi="Arial Narrow" w:cs="Segoe UI"/>
      <w:sz w:val="22"/>
    </w:rPr>
  </w:style>
  <w:style w:type="character" w:styleId="ListLabel50">
    <w:name w:val="ListLabel 5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49">
    <w:name w:val="ListLabel 49"/>
    <w:qFormat/>
    <w:rPr>
      <w:rFonts w:cs="Wingdings"/>
    </w:rPr>
  </w:style>
  <w:style w:type="character" w:styleId="ListLabel48">
    <w:name w:val="ListLabel 48"/>
    <w:qFormat/>
    <w:rPr>
      <w:rFonts w:cs="Courier New"/>
    </w:rPr>
  </w:style>
  <w:style w:type="character" w:styleId="ListLabel47">
    <w:name w:val="ListLabel 47"/>
    <w:qFormat/>
    <w:rPr>
      <w:rFonts w:cs="Symbol"/>
    </w:rPr>
  </w:style>
  <w:style w:type="character" w:styleId="ListLabel46">
    <w:name w:val="ListLabel 46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4">
    <w:name w:val="ListLabel 44"/>
    <w:qFormat/>
    <w:rPr>
      <w:rFonts w:cs="Symbol"/>
    </w:rPr>
  </w:style>
  <w:style w:type="character" w:styleId="ListLabel43">
    <w:name w:val="ListLabel 43"/>
    <w:qFormat/>
    <w:rPr>
      <w:rFonts w:cs="Wingdings"/>
    </w:rPr>
  </w:style>
  <w:style w:type="character" w:styleId="ListLabel42">
    <w:name w:val="ListLabel 42"/>
    <w:qFormat/>
    <w:rPr>
      <w:rFonts w:cs="Courier New"/>
    </w:rPr>
  </w:style>
  <w:style w:type="character" w:styleId="ListLabel41">
    <w:name w:val="ListLabel 41"/>
    <w:qFormat/>
    <w:rPr>
      <w:rFonts w:ascii="Arial Narrow" w:hAnsi="Arial Narrow" w:cs="Segoe UI"/>
      <w:sz w:val="22"/>
    </w:rPr>
  </w:style>
  <w:style w:type="character" w:styleId="ListLabel40">
    <w:name w:val="ListLabel 4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Symbol"/>
    </w:rPr>
  </w:style>
  <w:style w:type="character" w:styleId="ListLabel36">
    <w:name w:val="ListLabel 36"/>
    <w:qFormat/>
    <w:rPr>
      <w:rFonts w:cs="Wingdings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Symbol"/>
    </w:rPr>
  </w:style>
  <w:style w:type="character" w:styleId="ListLabel33">
    <w:name w:val="ListLabel 33"/>
    <w:qFormat/>
    <w:rPr>
      <w:rFonts w:cs="Wingdings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ascii="Arial Narrow" w:hAnsi="Arial Narrow" w:cs="Segoe UI"/>
      <w:sz w:val="22"/>
    </w:rPr>
  </w:style>
  <w:style w:type="character" w:styleId="ListLabel30">
    <w:name w:val="ListLabel 3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29">
    <w:name w:val="ListLabel 29"/>
    <w:qFormat/>
    <w:rPr>
      <w:rFonts w:cs="Wingdings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Symbol"/>
    </w:rPr>
  </w:style>
  <w:style w:type="character" w:styleId="ListLabel26">
    <w:name w:val="ListLabel 26"/>
    <w:qFormat/>
    <w:rPr>
      <w:rFonts w:cs="Wingdings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Symbol"/>
    </w:rPr>
  </w:style>
  <w:style w:type="character" w:styleId="ListLabel23">
    <w:name w:val="ListLabel 23"/>
    <w:qFormat/>
    <w:rPr>
      <w:rFonts w:cs="Wingdings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ascii="Arial Narrow" w:hAnsi="Arial Narrow" w:cs="Segoe UI"/>
      <w:sz w:val="22"/>
    </w:rPr>
  </w:style>
  <w:style w:type="character" w:styleId="ListLabel20">
    <w:name w:val="ListLabel 2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19">
    <w:name w:val="ListLabel 19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Wingdings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Symbol"/>
    </w:rPr>
  </w:style>
  <w:style w:type="character" w:styleId="ListLabel13">
    <w:name w:val="ListLabel 13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Znakovifusnote">
    <w:name w:val="Znakovi fusnote"/>
    <w:qFormat/>
    <w:rPr/>
  </w:style>
  <w:style w:type="character" w:styleId="Znakovioznaavanjazavrnihbiljeki">
    <w:name w:val="Znakovi označavanja završnih bilješki"/>
    <w:qFormat/>
    <w:rPr/>
  </w:style>
  <w:style w:type="character" w:styleId="Posjeenainternetveza">
    <w:name w:val="Posjećena internet veza"/>
    <w:rPr>
      <w:color w:val="800000"/>
      <w:u w:val="single"/>
      <w:lang w:val="zxx" w:eastAsia="zxx" w:bidi="zxx"/>
    </w:rPr>
  </w:style>
  <w:style w:type="character" w:styleId="ListLabel201">
    <w:name w:val="ListLabel 201"/>
    <w:qFormat/>
    <w:rPr>
      <w:sz w:val="20"/>
      <w:szCs w:val="20"/>
    </w:rPr>
  </w:style>
  <w:style w:type="character" w:styleId="ListLabel202">
    <w:name w:val="ListLabel 202"/>
    <w:qFormat/>
    <w:rPr>
      <w:sz w:val="20"/>
      <w:szCs w:val="20"/>
    </w:rPr>
  </w:style>
  <w:style w:type="character" w:styleId="ListLabel203">
    <w:name w:val="ListLabel 203"/>
    <w:qFormat/>
    <w:rPr>
      <w:sz w:val="20"/>
      <w:szCs w:val="20"/>
    </w:rPr>
  </w:style>
  <w:style w:type="character" w:styleId="ListLabel204">
    <w:name w:val="ListLabel 204"/>
    <w:qFormat/>
    <w:rPr>
      <w:sz w:val="20"/>
      <w:szCs w:val="20"/>
    </w:rPr>
  </w:style>
  <w:style w:type="character" w:styleId="ListLabel205">
    <w:name w:val="ListLabel 205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rsid w:val="008733f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sid w:val="008733f4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733f4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8733f4"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f34c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d3"/>
    <w:pPr>
      <w:spacing w:before="0" w:after="0"/>
      <w:ind w:left="720" w:hanging="0"/>
      <w:contextualSpacing/>
    </w:pPr>
    <w:rPr/>
  </w:style>
  <w:style w:type="paragraph" w:styleId="Sadrajitablice" w:customStyle="1">
    <w:name w:val="Sadržaji tablice"/>
    <w:basedOn w:val="Normal"/>
    <w:qFormat/>
    <w:rsid w:val="008733f4"/>
    <w:pPr>
      <w:suppressLineNumbers/>
    </w:pPr>
    <w:rPr/>
  </w:style>
  <w:style w:type="paragraph" w:styleId="Naslovtablice" w:customStyle="1">
    <w:name w:val="Naslov tablice"/>
    <w:basedOn w:val="Sadrajitablice"/>
    <w:qFormat/>
    <w:rsid w:val="008733f4"/>
    <w:pPr>
      <w:jc w:val="center"/>
    </w:pPr>
    <w:rPr>
      <w:b/>
      <w:bCs/>
    </w:rPr>
  </w:style>
  <w:style w:type="paragraph" w:styleId="NoSpacing">
    <w:name w:val="No Spacing"/>
    <w:qFormat/>
    <w:rsid w:val="008733f4"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LibreOffice/6.2.4.2$Windows_X86_64 LibreOffice_project/2412653d852ce75f65fbfa83fb7e7b669a126d64</Application>
  <Pages>4</Pages>
  <Words>1547</Words>
  <Characters>10044</Characters>
  <CharactersWithSpaces>11601</CharactersWithSpaces>
  <Paragraphs>325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2023-01-08T18:26:00Z</dcterms:created>
  <dc:creator>ZDENKO</dc:creator>
  <dc:description/>
  <dc:language>hr-HR</dc:language>
  <cp:lastModifiedBy/>
  <cp:lastPrinted>2024-10-07T11:25:58Z</cp:lastPrinted>
  <dcterms:modified xsi:type="dcterms:W3CDTF">2024-10-07T11:26:53Z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