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663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1"/>
        <w:gridCol w:w="6511"/>
      </w:tblGrid>
      <w:tr>
        <w:trPr>
          <w:trHeight w:val="1611" w:hRule="atLeast"/>
        </w:trPr>
        <w:tc>
          <w:tcPr>
            <w:tcW w:w="41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651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363-01/23-01/24</w:t>
      </w:r>
    </w:p>
    <w:p>
      <w:pPr>
        <w:pStyle w:val="Normal"/>
        <w:rPr/>
      </w:pPr>
      <w:r>
        <w:rPr>
          <w:sz w:val="22"/>
          <w:szCs w:val="22"/>
        </w:rPr>
        <w:t>URBROJ: 2140-23-1-24-05</w:t>
      </w:r>
    </w:p>
    <w:p>
      <w:pPr>
        <w:pStyle w:val="Normal"/>
        <w:rPr/>
      </w:pPr>
      <w:r>
        <w:rPr>
          <w:sz w:val="22"/>
          <w:szCs w:val="22"/>
        </w:rPr>
        <w:t>Mihovljan, 11. rujna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Na temelju odredbe članka 67. Stavak 1 Zakona o komunalnom gospodarstvu („Narodne novine“ broj 68/18 i 110/18, 32/20), članka 30. Zakona o vodama („Narodne Novine“ br. 66/19, 84/21 i 47/23) i članka 39. Statuta Općine Mihovljan („Službeni glasnik Krapinsko-zagorske županije“ br. 5/13, 11/18, 8/20 i 8/21), Općinsko vijeće Općine Mihovljan na svojoj 2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. sjednici održanoj dana 11. rujna 2024.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IZVRŠENJE PROGRAMA GRAĐENJA OBJEKATA KOMUNALNE INFRASTRUKTURE </w:t>
        <w:br/>
      </w:r>
      <w:bookmarkStart w:id="0" w:name="__DdeLink__968_2074773784"/>
      <w:r>
        <w:rPr>
          <w:b/>
        </w:rPr>
        <w:t>ZA RAZDOBLJE OD 01.01. – 30.06.2024. GODINE</w:t>
      </w:r>
      <w:bookmarkEnd w:id="0"/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ab/>
        <w:t>Ovim Programom određuje se građenje komunalne infrastrukture na području Općine Mihovljan za 2024.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</w:t>
      </w:r>
    </w:p>
    <w:p>
      <w:pPr>
        <w:pStyle w:val="Normal"/>
        <w:spacing w:lineRule="auto" w:line="276" w:before="0" w:after="240"/>
        <w:rPr>
          <w:sz w:val="22"/>
          <w:szCs w:val="22"/>
        </w:rPr>
      </w:pPr>
      <w:r>
        <w:rPr>
          <w:sz w:val="22"/>
          <w:szCs w:val="22"/>
        </w:rPr>
        <w:t>koje će se graditi u uređenim dijelovima građevinskog područja  i građevine koje će se rekonstruirati daju se u nastavku:</w:t>
      </w:r>
    </w:p>
    <w:tbl>
      <w:tblPr>
        <w:tblStyle w:val="Reetkatablice"/>
        <w:tblW w:w="10333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1889"/>
        <w:gridCol w:w="2133"/>
        <w:gridCol w:w="1470"/>
        <w:gridCol w:w="1425"/>
        <w:gridCol w:w="1630"/>
        <w:gridCol w:w="1096"/>
      </w:tblGrid>
      <w:tr>
        <w:trPr>
          <w:trHeight w:val="397" w:hRule="atLeast"/>
        </w:trPr>
        <w:tc>
          <w:tcPr>
            <w:tcW w:w="10332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1. Građevine komunalne infrastrukture koje će se graditi u uređenim dijelova građevinskog područja</w:t>
            </w:r>
          </w:p>
        </w:tc>
      </w:tr>
      <w:tr>
        <w:trPr>
          <w:trHeight w:val="397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47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  <w:tc>
          <w:tcPr>
            <w:tcW w:w="1425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Izvršenje 01.01.-30.06.2024.</w:t>
            </w:r>
          </w:p>
        </w:tc>
        <w:tc>
          <w:tcPr>
            <w:tcW w:w="163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1096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Pozicija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889" w:type="dxa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754" w:type="dxa"/>
            <w:gridSpan w:val="5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JAVNA RASVJETA</w:t>
            </w:r>
          </w:p>
        </w:tc>
      </w:tr>
      <w:tr>
        <w:trPr>
          <w:trHeight w:val="469" w:hRule="atLeast"/>
        </w:trPr>
        <w:tc>
          <w:tcPr>
            <w:tcW w:w="689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022" w:type="dxa"/>
            <w:gridSpan w:val="2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Javna rasvjeta</w:t>
            </w:r>
          </w:p>
        </w:tc>
        <w:tc>
          <w:tcPr>
            <w:tcW w:w="1470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425" w:type="dxa"/>
            <w:vMerge w:val="restart"/>
            <w:tcBorders/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0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Proračun Općine = 5.000,00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96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4511.10</w:t>
            </w:r>
          </w:p>
        </w:tc>
      </w:tr>
      <w:tr>
        <w:trPr/>
        <w:tc>
          <w:tcPr>
            <w:tcW w:w="6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lampi = 4.000,00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Postava lampi = 1.000,00 EUR </w:t>
            </w:r>
          </w:p>
        </w:tc>
        <w:tc>
          <w:tcPr>
            <w:tcW w:w="1470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630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96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9643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NERAZVRSTANE CESTE</w:t>
            </w:r>
          </w:p>
        </w:tc>
      </w:tr>
      <w:tr>
        <w:trPr>
          <w:trHeight w:val="685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Presvlačenje asfaltom i asfaltiranje nerazvrstanih cesta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176.000,00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161.539,99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Proračun Općine =  126.000,00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Pomoći = 50.000,00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4213.10</w:t>
            </w:r>
          </w:p>
        </w:tc>
      </w:tr>
      <w:tr>
        <w:trPr>
          <w:trHeight w:val="794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500,00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171.000,00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4.500,00 EUR</w:t>
            </w:r>
          </w:p>
        </w:tc>
        <w:tc>
          <w:tcPr>
            <w:tcW w:w="147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3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9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bookmarkStart w:id="1" w:name="__DdeLink__840_2243921593"/>
            <w:r>
              <w:rPr>
                <w:sz w:val="22"/>
                <w:szCs w:val="22"/>
              </w:rPr>
              <w:t>Rekonstrukcija postojeće nerazvrstane ceste M -Mihovljan – Večkovići -Kovačići – građevina infrastrukturne namjene 2. skupine</w:t>
            </w:r>
            <w:bookmarkEnd w:id="1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(ishođena građevinska dozvola)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1.060.000,00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Default"/>
              <w:widowControl w:val="false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7.107,50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EU primici = 500.000,00</w:t>
            </w:r>
          </w:p>
          <w:p>
            <w:pPr>
              <w:pStyle w:val="Default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Kredit = 1.060.000,00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4511.11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1.032.600,00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Konzultantske usluge = 1.400,00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26.000,00 EUR</w:t>
            </w:r>
          </w:p>
        </w:tc>
        <w:tc>
          <w:tcPr>
            <w:tcW w:w="147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63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9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2" w:hRule="atLeast"/>
        </w:trPr>
        <w:tc>
          <w:tcPr>
            <w:tcW w:w="68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9643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JAVNA PARKIRALIŠTA</w:t>
            </w:r>
          </w:p>
        </w:tc>
      </w:tr>
      <w:tr>
        <w:trPr>
          <w:trHeight w:val="312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Izgradnja parkirališta u Mihovljanu (kraj vage)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izgradnja na k.č.br. 1095 k.o. Mihovljan)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Proračun Općine = 5.000,00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4213.15</w:t>
            </w:r>
          </w:p>
        </w:tc>
      </w:tr>
      <w:tr>
        <w:trPr>
          <w:trHeight w:val="312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= 500,00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4.000,00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500,00 EUR</w:t>
            </w:r>
          </w:p>
        </w:tc>
        <w:tc>
          <w:tcPr>
            <w:tcW w:w="1470" w:type="dxa"/>
            <w:vMerge w:val="continue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30" w:type="dxa"/>
            <w:vMerge w:val="continue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6" w:type="dxa"/>
            <w:vMerge w:val="continue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2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9643" w:type="dxa"/>
            <w:gridSpan w:val="6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JAVNE POVRŠINE KOJIMA NIJE DOPUŠTEN PROMET MOTORNIM VOZILIMA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Nogostup i oborinska odvodnja uz županijsku cestu ŽC2125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(ishođena građevinska dozvola)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875,00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4"/>
                <w:szCs w:val="14"/>
              </w:rPr>
              <w:t>Proračun Općine= 75.000,00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bookmarkStart w:id="2" w:name="__DdeLink__818_3447693274"/>
            <w:r>
              <w:rPr>
                <w:sz w:val="14"/>
                <w:szCs w:val="14"/>
              </w:rPr>
              <w:t>P</w:t>
            </w:r>
            <w:bookmarkEnd w:id="2"/>
            <w:r>
              <w:rPr>
                <w:sz w:val="14"/>
                <w:szCs w:val="14"/>
              </w:rPr>
              <w:t>omoći =50.000,00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4213.12</w:t>
            </w:r>
          </w:p>
        </w:tc>
      </w:tr>
      <w:tr>
        <w:trPr>
          <w:trHeight w:val="516" w:hRule="atLeast"/>
        </w:trPr>
        <w:tc>
          <w:tcPr>
            <w:tcW w:w="689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122.000,00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3.000,00 EUR</w:t>
            </w:r>
          </w:p>
        </w:tc>
        <w:tc>
          <w:tcPr>
            <w:tcW w:w="1470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30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6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Projekt za nogostup i oborinsku odvodnju uz </w:t>
            </w:r>
            <w:r>
              <w:rPr>
                <w:sz w:val="22"/>
                <w:szCs w:val="22"/>
              </w:rPr>
              <w:t xml:space="preserve">županijsku cestu ŽC2125 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b w:val="false"/>
                <w:bCs w:val="false"/>
                <w:sz w:val="22"/>
                <w:szCs w:val="22"/>
              </w:rPr>
              <w:t xml:space="preserve">     </w:t>
            </w:r>
            <w:r>
              <w:rPr>
                <w:b w:val="false"/>
                <w:bCs w:val="false"/>
                <w:sz w:val="22"/>
                <w:szCs w:val="22"/>
              </w:rPr>
              <w:t>0,00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14"/>
                <w:szCs w:val="14"/>
              </w:rPr>
              <w:t>Proračun Općine= 15.000,00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4126.12</w:t>
            </w:r>
          </w:p>
        </w:tc>
      </w:tr>
      <w:tr>
        <w:trPr>
          <w:trHeight w:val="51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= 15.000,00</w:t>
            </w:r>
          </w:p>
        </w:tc>
        <w:tc>
          <w:tcPr>
            <w:tcW w:w="147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63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96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9643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GRAĐEVINE I UREĐAJI JAVNE NAMJENE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Vrata za zgradu općine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2.741,90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 = 3.000,00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4221.22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i postava =3.000,00 EUR</w:t>
            </w:r>
          </w:p>
        </w:tc>
        <w:tc>
          <w:tcPr>
            <w:tcW w:w="147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3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9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EEEEEE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Pomoćne prostorije kraj Društvenog doma Mihovljan </w:t>
            </w:r>
            <w:r>
              <w:rPr>
                <w:sz w:val="16"/>
                <w:szCs w:val="16"/>
              </w:rPr>
              <w:t>(planira se obnova na k.č.br. 3521 k.o. Mihovljan)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Općine= 10.000,00</w:t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4511.18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Troškovnik = 300,00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Izvođenje radova = 9.200,00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Nadzor = 500,00 EUR</w:t>
            </w:r>
          </w:p>
        </w:tc>
        <w:tc>
          <w:tcPr>
            <w:tcW w:w="147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30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9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c)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Zgrada općine – prostorija u potkrovlju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(postojeći troškovnik za sanaciju/obnovu zgrade na k.č.br. 1187/2 k.o. Mihovljan)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10.000,00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    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0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Općine= 10.000,00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6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4511.19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Izvođenje radova = 9.500,00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Nadzor = 500,00 EUR</w:t>
            </w:r>
          </w:p>
        </w:tc>
        <w:tc>
          <w:tcPr>
            <w:tcW w:w="1470" w:type="dxa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1425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</w:r>
          </w:p>
        </w:tc>
        <w:tc>
          <w:tcPr>
            <w:tcW w:w="1630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</w:r>
          </w:p>
        </w:tc>
        <w:tc>
          <w:tcPr>
            <w:tcW w:w="1096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>d)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Zemljište u centru Mihovljana</w:t>
            </w:r>
          </w:p>
        </w:tc>
        <w:tc>
          <w:tcPr>
            <w:tcW w:w="14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25.000,00</w:t>
            </w:r>
          </w:p>
        </w:tc>
        <w:tc>
          <w:tcPr>
            <w:tcW w:w="1425" w:type="dxa"/>
            <w:tcBorders/>
            <w:shd w:color="auto" w:fill="FFFFFF" w:themeFill="background1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3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Općine=25.000,00</w:t>
            </w:r>
          </w:p>
        </w:tc>
        <w:tc>
          <w:tcPr>
            <w:tcW w:w="10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4111.95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e)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Kupnja zgrade u centru Mihovljana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kupnja objekta na k.č.br. 2683/4 k.o. Mihovljan)</w:t>
            </w:r>
          </w:p>
        </w:tc>
        <w:tc>
          <w:tcPr>
            <w:tcW w:w="1470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142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30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Općine=25.000,00</w:t>
            </w:r>
          </w:p>
        </w:tc>
        <w:tc>
          <w:tcPr>
            <w:tcW w:w="109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4211.91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>e)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Projekti - izrada projekata i geodezija</w:t>
            </w:r>
          </w:p>
        </w:tc>
        <w:tc>
          <w:tcPr>
            <w:tcW w:w="14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12.000,00</w:t>
            </w:r>
          </w:p>
        </w:tc>
        <w:tc>
          <w:tcPr>
            <w:tcW w:w="1425" w:type="dxa"/>
            <w:tcBorders/>
            <w:shd w:color="auto" w:fill="FFFFFF" w:themeFill="background1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49.812,50</w:t>
            </w:r>
          </w:p>
        </w:tc>
        <w:tc>
          <w:tcPr>
            <w:tcW w:w="163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Općine=12.000,00</w:t>
            </w:r>
          </w:p>
        </w:tc>
        <w:tc>
          <w:tcPr>
            <w:tcW w:w="10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4126.10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f)</w:t>
            </w:r>
          </w:p>
        </w:tc>
        <w:tc>
          <w:tcPr>
            <w:tcW w:w="402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>Dokumentacija i projekt za rekonstrukciju- dogradnju i prenamjenu zgrade u vatrogasni dom</w:t>
            </w:r>
          </w:p>
        </w:tc>
        <w:tc>
          <w:tcPr>
            <w:tcW w:w="14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35.000,00</w:t>
            </w:r>
          </w:p>
        </w:tc>
        <w:tc>
          <w:tcPr>
            <w:tcW w:w="14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3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Proračun Općine= 35.000,00</w:t>
            </w:r>
          </w:p>
        </w:tc>
        <w:tc>
          <w:tcPr>
            <w:tcW w:w="10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4126.19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333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8"/>
        <w:gridCol w:w="4268"/>
        <w:gridCol w:w="1409"/>
        <w:gridCol w:w="1131"/>
        <w:gridCol w:w="1742"/>
        <w:gridCol w:w="994"/>
      </w:tblGrid>
      <w:tr>
        <w:trPr/>
        <w:tc>
          <w:tcPr>
            <w:tcW w:w="7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9544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GROBLJA</w:t>
            </w:r>
          </w:p>
        </w:tc>
      </w:tr>
      <w:tr>
        <w:trPr/>
        <w:tc>
          <w:tcPr>
            <w:tcW w:w="78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2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Mrtvačnica Mihovljan – prilazne stepenice</w:t>
            </w:r>
          </w:p>
        </w:tc>
        <w:tc>
          <w:tcPr>
            <w:tcW w:w="1409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131" w:type="dxa"/>
            <w:vMerge w:val="restart"/>
            <w:tcBorders/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8.000,00</w:t>
            </w:r>
          </w:p>
        </w:tc>
        <w:tc>
          <w:tcPr>
            <w:tcW w:w="994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4511.16</w:t>
            </w:r>
          </w:p>
        </w:tc>
      </w:tr>
      <w:tr>
        <w:trPr/>
        <w:tc>
          <w:tcPr>
            <w:tcW w:w="7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6.436,14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 xml:space="preserve">Stručni nadzor = 200,00 EUR </w:t>
            </w:r>
          </w:p>
        </w:tc>
        <w:tc>
          <w:tcPr>
            <w:tcW w:w="1409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Kapelica na Mjesnom groblju Mihovljan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>47.000,00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C9211E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C9211E"/>
                <w:sz w:val="14"/>
                <w:szCs w:val="1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5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50000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color w:val="050000"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C9211E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C9211E"/>
                <w:sz w:val="14"/>
                <w:szCs w:val="14"/>
              </w:rPr>
            </w:r>
          </w:p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Općine=17.000,00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bookmarkStart w:id="3" w:name="__DdeLink__818_34476932741"/>
            <w:r>
              <w:rPr>
                <w:bCs/>
                <w:sz w:val="14"/>
                <w:szCs w:val="14"/>
              </w:rPr>
              <w:t>P</w:t>
            </w:r>
            <w:bookmarkEnd w:id="3"/>
            <w:r>
              <w:rPr>
                <w:bCs/>
                <w:sz w:val="14"/>
                <w:szCs w:val="14"/>
              </w:rPr>
              <w:t>omoći =30.000,00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4511.15</w:t>
            </w:r>
          </w:p>
        </w:tc>
      </w:tr>
      <w:tr>
        <w:trPr>
          <w:trHeight w:val="779" w:hRule="atLeast"/>
        </w:trPr>
        <w:tc>
          <w:tcPr>
            <w:tcW w:w="7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800,00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 = 44.900,00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=1.300,00 EUR</w:t>
            </w:r>
          </w:p>
        </w:tc>
        <w:tc>
          <w:tcPr>
            <w:tcW w:w="1409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Centralni križ na Mjesnom groblju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=10.000,00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4511.17</w:t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300,00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9.800,00 EUR</w:t>
            </w:r>
          </w:p>
          <w:p>
            <w:pPr>
              <w:pStyle w:val="Normal"/>
              <w:widowControl w:val="false"/>
              <w:jc w:val="both"/>
              <w:rPr/>
            </w:pPr>
            <w:bookmarkStart w:id="4" w:name="__DdeLink__743_2135945401"/>
            <w:r>
              <w:rPr>
                <w:sz w:val="22"/>
                <w:szCs w:val="22"/>
              </w:rPr>
              <w:t>Nadzor = 500,00 EUR</w:t>
            </w:r>
            <w:bookmarkEnd w:id="4"/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highlight w:val="lightGray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hd w:val="clear" w:color="auto" w:fill="EEEEEE"/>
              <w:jc w:val="both"/>
              <w:rPr>
                <w:highlight w:val="lightGray"/>
              </w:rPr>
            </w:pPr>
            <w:r>
              <w:rPr/>
              <w:t>Vrata za mrtvačnicu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=4.000,00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4221.23</w:t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Nabava i postava = 4.000,00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Oprema za mrtvačnicu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=5.000,00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4221.93</w:t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Nabava i postava = 5.000,00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Zemljište za proširenje Mjesnog groblja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kupnja zemljišta označenog kao k.č.br. 1209,01208 i 1296/3 k.o. Mihovljan)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10.000,00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=10.000,00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4111.94</w:t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Elaborat procjene = 500,00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Kupnja zemljišta = 9.500,00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Izrada betonskih okvira na Mjesnom groblju Mihovljan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(Na novom zemljištu  k.č.br. 1209,01208 i 1296/3 k.o. Mihovljan)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</w:t>
            </w:r>
            <w:bookmarkStart w:id="5" w:name="__DdeLink__915_732532092"/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  <w:bookmarkEnd w:id="5"/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20.000,00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4214.63</w:t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19.200,00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800,00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Projekti i geodezija za Mjesno groblje Mihovljan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  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b/>
                <w:b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12.000,00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4126.16</w:t>
            </w:r>
          </w:p>
        </w:tc>
      </w:tr>
      <w:tr>
        <w:trPr/>
        <w:tc>
          <w:tcPr>
            <w:tcW w:w="7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i geodezija= 12.000,00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9544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JAVNE ZELENE POVRŠINE</w:t>
            </w:r>
          </w:p>
        </w:tc>
      </w:tr>
      <w:tr>
        <w:trPr/>
        <w:tc>
          <w:tcPr>
            <w:tcW w:w="78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2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Izgradnja Parka hrvatskih branitelja u Mihovljanu </w:t>
            </w:r>
          </w:p>
        </w:tc>
        <w:tc>
          <w:tcPr>
            <w:tcW w:w="1409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131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57.405,63</w:t>
            </w:r>
          </w:p>
        </w:tc>
        <w:tc>
          <w:tcPr>
            <w:tcW w:w="1742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Pomoći = 33.000,00 </w:t>
            </w:r>
          </w:p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 xml:space="preserve">Proračun Općine= 7.000,00 </w:t>
            </w:r>
          </w:p>
        </w:tc>
        <w:tc>
          <w:tcPr>
            <w:tcW w:w="994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0"/>
                <w:szCs w:val="20"/>
              </w:rPr>
              <w:t>4214.62</w:t>
            </w:r>
          </w:p>
        </w:tc>
      </w:tr>
      <w:tr>
        <w:trPr>
          <w:trHeight w:val="506" w:hRule="atLeast"/>
        </w:trPr>
        <w:tc>
          <w:tcPr>
            <w:tcW w:w="7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Projekt = 4.250,00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Izvođenje radova = 34.571,42 EUR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Nadzor = 995,42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3" w:hRule="atLeast"/>
        </w:trPr>
        <w:tc>
          <w:tcPr>
            <w:tcW w:w="78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268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Dječje igralište sa igralima i spravama</w:t>
            </w:r>
          </w:p>
        </w:tc>
        <w:tc>
          <w:tcPr>
            <w:tcW w:w="1409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131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5.000,00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0"/>
                <w:szCs w:val="20"/>
              </w:rPr>
              <w:t>4214.99</w:t>
            </w:r>
          </w:p>
        </w:tc>
      </w:tr>
      <w:tr>
        <w:trPr>
          <w:trHeight w:val="506" w:hRule="atLeast"/>
        </w:trPr>
        <w:tc>
          <w:tcPr>
            <w:tcW w:w="7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i postava = 5.000,00 EUR</w:t>
            </w:r>
          </w:p>
        </w:tc>
        <w:tc>
          <w:tcPr>
            <w:tcW w:w="1409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1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74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4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788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>c)</w:t>
            </w:r>
          </w:p>
        </w:tc>
        <w:tc>
          <w:tcPr>
            <w:tcW w:w="4268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Zemljište- za Dječje igralište</w:t>
            </w:r>
          </w:p>
        </w:tc>
        <w:tc>
          <w:tcPr>
            <w:tcW w:w="1409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500,00 </w:t>
            </w:r>
          </w:p>
        </w:tc>
        <w:tc>
          <w:tcPr>
            <w:tcW w:w="113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500,00</w:t>
            </w:r>
          </w:p>
        </w:tc>
        <w:tc>
          <w:tcPr>
            <w:tcW w:w="99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4111.93</w:t>
            </w:r>
          </w:p>
        </w:tc>
      </w:tr>
      <w:tr>
        <w:trPr>
          <w:trHeight w:val="506" w:hRule="atLeast"/>
        </w:trPr>
        <w:tc>
          <w:tcPr>
            <w:tcW w:w="788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4268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Centar – klupe, koševi i druga oprema</w:t>
            </w:r>
          </w:p>
        </w:tc>
        <w:tc>
          <w:tcPr>
            <w:tcW w:w="1409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13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42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5.000,00</w:t>
            </w:r>
          </w:p>
        </w:tc>
        <w:tc>
          <w:tcPr>
            <w:tcW w:w="99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4221.94</w:t>
            </w:r>
          </w:p>
        </w:tc>
      </w:tr>
      <w:tr>
        <w:trPr>
          <w:trHeight w:val="340" w:hRule="atLeast"/>
        </w:trPr>
        <w:tc>
          <w:tcPr>
            <w:tcW w:w="78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0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1.672.500,00 EUR </w:t>
            </w:r>
          </w:p>
        </w:tc>
        <w:tc>
          <w:tcPr>
            <w:tcW w:w="3867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279.482,52 EUR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potrebna za realizaciju Programa građenja komunalne infrastrukture osigurat će se iz općih poreznih prihoda, kapitalne potpora iz LAG-a, kapitalne potpore iz ŽUC-a KZŽ, prihoda od kapitalnih potpora resornih Ministarstva,  Fondova EU i kreditnog zaduženja sukladno Tabeli u nastavku.</w:t>
      </w:r>
    </w:p>
    <w:tbl>
      <w:tblPr>
        <w:tblW w:w="10348" w:type="dxa"/>
        <w:jc w:val="lef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803"/>
        <w:gridCol w:w="2407"/>
        <w:gridCol w:w="2138"/>
      </w:tblGrid>
      <w:tr>
        <w:trPr/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(EUR)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i prireza na dohodak,preneseni višak 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sz w:val="21"/>
                <w:szCs w:val="21"/>
              </w:rPr>
              <w:t>459.500,00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279.482,52</w:t>
            </w:r>
          </w:p>
        </w:tc>
      </w:tr>
      <w:tr>
        <w:trPr/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sz w:val="21"/>
                <w:szCs w:val="21"/>
              </w:rPr>
              <w:t>100.000,00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>
        <w:trPr/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sz w:val="21"/>
                <w:szCs w:val="21"/>
              </w:rPr>
              <w:t>63.000,00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>
        <w:trPr/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Kreditno zaduženje (Rekonstrukcija nerazvrstane ceste Mihovljan - Večkovići-Kovačići)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>
                <w:sz w:val="22"/>
                <w:szCs w:val="22"/>
              </w:rPr>
              <w:t>1.060.000,00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 xml:space="preserve">1.672.500,00 EUR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>279.482,52 EUR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ind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  <w:r>
        <w:rPr>
          <w:sz w:val="22"/>
          <w:szCs w:val="22"/>
        </w:rPr>
        <w:t xml:space="preserve">           </w:t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</w:t>
        <w:tab/>
        <w:tab/>
        <w:t xml:space="preserve">                     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 w:customStyle="1">
    <w:name w:val="ListLabel 71"/>
    <w:qFormat/>
    <w:rPr>
      <w:rFonts w:cs="Segoe UI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eastAsia="Lucida Sans Unicode" w:cs="Times New Roman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Times New Roman"/>
      <w:sz w:val="22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 w:customStyle="1">
    <w:name w:val="ListLabel 87"/>
    <w:qFormat/>
    <w:rPr>
      <w:rFonts w:cs="Symbol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Wingdings"/>
    </w:rPr>
  </w:style>
  <w:style w:type="character" w:styleId="ListLabel90" w:customStyle="1">
    <w:name w:val="ListLabel 90"/>
    <w:qFormat/>
    <w:rPr>
      <w:rFonts w:cs="Symbol"/>
    </w:rPr>
  </w:style>
  <w:style w:type="character" w:styleId="ListLabel91" w:customStyle="1">
    <w:name w:val="ListLabel 91"/>
    <w:qFormat/>
    <w:rPr>
      <w:rFonts w:cs="Courier New"/>
    </w:rPr>
  </w:style>
  <w:style w:type="character" w:styleId="ListLabel92" w:customStyle="1">
    <w:name w:val="ListLabel 92"/>
    <w:qFormat/>
    <w:rPr>
      <w:rFonts w:cs="Wingdings"/>
    </w:rPr>
  </w:style>
  <w:style w:type="character" w:styleId="ListLabel93" w:customStyle="1">
    <w:name w:val="ListLabel 93"/>
    <w:qFormat/>
    <w:rPr>
      <w:rFonts w:cs="Times New Roman"/>
      <w:sz w:val="22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Wingdings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cs="Times New Roman"/>
      <w:sz w:val="22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cs="Times New Roman"/>
      <w:sz w:val="22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Times New Roman"/>
      <w:sz w:val="22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cs="Symbol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cs="Times New Roman"/>
      <w:sz w:val="22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Symbol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Wingdings"/>
    </w:rPr>
  </w:style>
  <w:style w:type="character" w:styleId="ListLabel135" w:customStyle="1">
    <w:name w:val="ListLabel 135"/>
    <w:qFormat/>
    <w:rPr>
      <w:rFonts w:cs="Symbol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cs="Times New Roman"/>
      <w:sz w:val="22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Wingdings"/>
    </w:rPr>
  </w:style>
  <w:style w:type="character" w:styleId="ListLabel141" w:customStyle="1">
    <w:name w:val="ListLabel 141"/>
    <w:qFormat/>
    <w:rPr>
      <w:rFonts w:cs="Symbol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Wingdings"/>
    </w:rPr>
  </w:style>
  <w:style w:type="character" w:styleId="ListLabel144" w:customStyle="1">
    <w:name w:val="ListLabel 144"/>
    <w:qFormat/>
    <w:rPr>
      <w:rFonts w:cs="Symbol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Wingdings"/>
    </w:rPr>
  </w:style>
  <w:style w:type="character" w:styleId="ListLabel147" w:customStyle="1">
    <w:name w:val="ListLabel 147"/>
    <w:qFormat/>
    <w:rPr>
      <w:rFonts w:cs="Times New Roman"/>
      <w:sz w:val="22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Wingdings"/>
    </w:rPr>
  </w:style>
  <w:style w:type="character" w:styleId="ListLabel150" w:customStyle="1">
    <w:name w:val="ListLabel 150"/>
    <w:qFormat/>
    <w:rPr>
      <w:rFonts w:cs="Symbol"/>
    </w:rPr>
  </w:style>
  <w:style w:type="character" w:styleId="ListLabel151" w:customStyle="1">
    <w:name w:val="ListLabel 151"/>
    <w:qFormat/>
    <w:rPr>
      <w:rFonts w:cs="Courier New"/>
    </w:rPr>
  </w:style>
  <w:style w:type="character" w:styleId="ListLabel152" w:customStyle="1">
    <w:name w:val="ListLabel 152"/>
    <w:qFormat/>
    <w:rPr>
      <w:rFonts w:cs="Wingdings"/>
    </w:rPr>
  </w:style>
  <w:style w:type="character" w:styleId="ListLabel153" w:customStyle="1">
    <w:name w:val="ListLabel 153"/>
    <w:qFormat/>
    <w:rPr>
      <w:rFonts w:cs="Symbol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Wingdings"/>
    </w:rPr>
  </w:style>
  <w:style w:type="character" w:styleId="ListLabel156" w:customStyle="1">
    <w:name w:val="ListLabel 156"/>
    <w:qFormat/>
    <w:rPr>
      <w:rFonts w:cs="Times New Roman"/>
      <w:sz w:val="22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rFonts w:cs="Wingdings"/>
    </w:rPr>
  </w:style>
  <w:style w:type="character" w:styleId="ListLabel159" w:customStyle="1">
    <w:name w:val="ListLabel 159"/>
    <w:qFormat/>
    <w:rPr>
      <w:rFonts w:cs="Symbol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Times New Roman"/>
      <w:sz w:val="22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cs="Symbol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>
    <w:name w:val="ListLabel 174"/>
    <w:qFormat/>
    <w:rPr>
      <w:rFonts w:cs="Times New Roman"/>
      <w:sz w:val="22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Times New Roman"/>
      <w:sz w:val="22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Times New Roman"/>
      <w:sz w:val="22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Times New Roman"/>
      <w:sz w:val="22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Times New Roman"/>
      <w:sz w:val="22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Times New Roman"/>
      <w:sz w:val="22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Times New Roman"/>
      <w:sz w:val="22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Times New Roman"/>
      <w:sz w:val="22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Times New Roman"/>
      <w:sz w:val="22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Application>LibreOffice/6.2.4.2$Windows_X86_64 LibreOffice_project/2412653d852ce75f65fbfa83fb7e7b669a126d64</Application>
  <Pages>4</Pages>
  <Words>1092</Words>
  <Characters>6867</Characters>
  <CharactersWithSpaces>7850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2023-01-07T14:17:00Z</dcterms:created>
  <dc:creator>URED-PC</dc:creator>
  <dc:description/>
  <dc:language>hr-HR</dc:language>
  <cp:lastModifiedBy/>
  <cp:lastPrinted>2023-12-14T08:46:00Z</cp:lastPrinted>
  <dcterms:modified xsi:type="dcterms:W3CDTF">2024-10-07T11:20:41Z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