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/>
      </w:pPr>
      <w:r>
        <w:rPr>
          <w:rFonts w:cs="Tahoma" w:ascii="Arial Narrow" w:hAnsi="Arial Narrow"/>
        </w:rPr>
        <w:t>KLASA: 325-01/21-01/</w:t>
      </w:r>
      <w:r>
        <w:rPr>
          <w:rFonts w:cs="Tahoma" w:ascii="Arial Narrow" w:hAnsi="Arial Narrow"/>
        </w:rPr>
        <w:t>13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>Mihovljan, 21. 12.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Cs w:val="20"/>
        </w:rPr>
        <w:t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8. sjednici održanoj dana 21. prosinca 2021., donijelo je</w:t>
      </w:r>
    </w:p>
    <w:p>
      <w:pPr>
        <w:pStyle w:val="Normal"/>
        <w:jc w:val="both"/>
        <w:rPr/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 xml:space="preserve">PROGRAM UTROŠKA SREDSTAVA VODNOG DOPRINOSA </w:t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U 2022. GODINI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Ovim Programom utvrđuje se namjena korištenje sredstava vodnog doprinosa ostvarenih uplatom dijela sredstava od vodnog doprinosa koja će u visini od 8% naplaćenih sredstava za područje Općine Mihovljan, Hrvatske vode uplatiti u Proračun Općine Mihovljan u 2022. godini u planiranom iznosu od 15.000,00 kuna.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cs="Tahoma" w:ascii="Arial Narrow" w:hAnsi="Arial Narrow"/>
          <w:szCs w:val="20"/>
        </w:rPr>
        <w:t xml:space="preserve">Ostvareni prihod od vodnog doprinosa u cijelosti će se </w:t>
      </w:r>
      <w:r>
        <w:rPr>
          <w:rFonts w:cs="Tahoma" w:ascii="Arial Narrow" w:hAnsi="Arial Narrow"/>
          <w:color w:val="000000" w:themeColor="text1"/>
          <w:szCs w:val="20"/>
        </w:rPr>
        <w:t>utrošiti za održavanje građevina oborinske odvodnje.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>Ovaj Program utroška sredstava vodnog doprinosa u 2022. godini objaviti će se u Službenom glasniku Krapinsko – zagorske županije, a primjenjuje se od 01.01.2022. godine.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rFonts w:cs="Tahoma" w:ascii="Arial Narrow" w:hAnsi="Arial Narrow"/>
            <w:sz w:val="22"/>
            <w:szCs w:val="22"/>
          </w:rPr>
          <w:t>financije@kzz.hr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rFonts w:ascii="Arial Narrow" w:hAnsi="Arial Narrow" w:cs="Tahoma"/>
      <w:sz w:val="22"/>
      <w:szCs w:val="22"/>
    </w:rPr>
  </w:style>
  <w:style w:type="character" w:styleId="ListLabel6">
    <w:name w:val="ListLabel 6"/>
    <w:qFormat/>
    <w:rPr>
      <w:rFonts w:ascii="Arial Narrow" w:hAnsi="Arial Narrow" w:cs="Tahoma"/>
      <w:sz w:val="22"/>
      <w:szCs w:val="22"/>
    </w:rPr>
  </w:style>
  <w:style w:type="character" w:styleId="ListLabel7">
    <w:name w:val="ListLabel 7"/>
    <w:qFormat/>
    <w:rPr>
      <w:rFonts w:ascii="Arial Narrow" w:hAnsi="Arial Narrow" w:cs="Tahoma"/>
      <w:sz w:val="2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4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278</Words>
  <Characters>1739</Characters>
  <CharactersWithSpaces>2324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2016-12-16T06:42:00Z</cp:lastPrinted>
  <dcterms:modified xsi:type="dcterms:W3CDTF">2021-12-30T09:46:03Z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