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692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614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321-01/23-01/03</w:t>
      </w:r>
    </w:p>
    <w:p>
      <w:pPr>
        <w:pStyle w:val="Normal"/>
        <w:rPr/>
      </w:pPr>
      <w:r>
        <w:rPr>
          <w:sz w:val="22"/>
          <w:szCs w:val="22"/>
        </w:rPr>
        <w:t>URBROJ: 2140-23-1-24-</w:t>
      </w:r>
      <w:r>
        <w:rPr>
          <w:sz w:val="22"/>
          <w:szCs w:val="22"/>
        </w:rPr>
        <w:t>05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26</w:t>
      </w:r>
      <w:r>
        <w:rPr>
          <w:sz w:val="22"/>
          <w:szCs w:val="22"/>
        </w:rPr>
        <w:t>. studenog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69. stavka 4. Zakona o šumama (“Narodne novine” br. 68/18, 115/18, 98/19, 32/20, 145/20 i 101/23, 36/24)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27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26</w:t>
      </w:r>
      <w:r>
        <w:rPr>
          <w:sz w:val="22"/>
          <w:szCs w:val="22"/>
        </w:rPr>
        <w:t>. studenog 2024., donijelo je</w:t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 xml:space="preserve">PROGRAM UTROŠKA SREDSTAVA ŠUMSKOG DOPRINOSA </w:t>
        <w:br/>
        <w:t>UZ I. IZMJENE I DOPUNE PRORAČUNA U 2024.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>Prihod proračuna Općine Mihovljan za 2024. godinu, a temeljem dosadašnjih uplata šumskog doprinosa izvorno se planirao u iznosu od 1.000,00 EUR, a prilikom I. izmjena i dopuna proračuna u 2024. godini u iznosu od 100,00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Mihovljan.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3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Ovaj Program će se objaviti u Službenom glasniku Krapinsko-zagorske županije, a njegovim donošenjem prestaje važiti Program utroška sredstava šumskog doprinosa u 2024. godini objavljen u Službenom glasniku Krapinsko-zagorske županije broj 45A/23.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134" w:right="1274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sz w:val="20"/>
      <w:szCs w:val="20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/>
      <w:sz w:val="22"/>
      <w:szCs w:val="22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sz w:val="20"/>
      <w:szCs w:val="22"/>
    </w:rPr>
  </w:style>
  <w:style w:type="character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styleId="ListLabel12">
    <w:name w:val="ListLabel 12"/>
    <w:qFormat/>
    <w:rPr>
      <w:sz w:val="20"/>
      <w:szCs w:val="22"/>
    </w:rPr>
  </w:style>
  <w:style w:type="character" w:styleId="ListLabel13">
    <w:name w:val="ListLabel 13"/>
    <w:qFormat/>
    <w:rPr>
      <w:rFonts w:cs="Times New Roman"/>
      <w:sz w:val="20"/>
      <w:szCs w:val="20"/>
    </w:rPr>
  </w:style>
  <w:style w:type="character" w:styleId="ListLabel14">
    <w:name w:val="ListLabel 14"/>
    <w:qFormat/>
    <w:rPr>
      <w:sz w:val="20"/>
      <w:szCs w:val="22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sz w:val="20"/>
      <w:szCs w:val="22"/>
    </w:rPr>
  </w:style>
  <w:style w:type="character" w:styleId="ListLabel17">
    <w:name w:val="ListLabel 17"/>
    <w:qFormat/>
    <w:rPr>
      <w:rFonts w:cs="Times New Roman"/>
      <w:sz w:val="20"/>
      <w:szCs w:val="20"/>
    </w:rPr>
  </w:style>
  <w:style w:type="character" w:styleId="ListLabel18">
    <w:name w:val="ListLabel 18"/>
    <w:qFormat/>
    <w:rPr>
      <w:sz w:val="20"/>
      <w:szCs w:val="22"/>
    </w:rPr>
  </w:style>
  <w:style w:type="character" w:styleId="ListLabel19">
    <w:name w:val="ListLabel 19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LibreOffice/6.2.4.2$Windows_X86_64 LibreOffice_project/2412653d852ce75f65fbfa83fb7e7b669a126d64</Application>
  <Pages>1</Pages>
  <Words>284</Words>
  <Characters>1810</Characters>
  <CharactersWithSpaces>2312</CharactersWithSpaces>
  <Paragraphs>30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2024-12-13T07:53:54Z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