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750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672"/>
      </w:tblGrid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325-01/24-01/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>URBROJ: 2140-23-1-24-02</w:t>
      </w:r>
    </w:p>
    <w:p>
      <w:pPr>
        <w:pStyle w:val="Normal"/>
        <w:rPr/>
      </w:pPr>
      <w:r>
        <w:rPr>
          <w:sz w:val="22"/>
          <w:szCs w:val="22"/>
        </w:rPr>
        <w:t>Mihovljan, 27. ožujka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24. sjednici održanoj dana 27. ožujka 2023., donijelo je</w:t>
      </w:r>
    </w:p>
    <w:p>
      <w:pPr>
        <w:pStyle w:val="Normal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IZVJEŠTAJ O IZVRŠENJU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PROGRAMA UTROŠKA SREDSTAVA VODNOG DOPRINOSA U 2023.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2023. godini u planiranom iznosu </w:t>
      </w:r>
      <w:r>
        <w:rPr>
          <w:color w:val="000000" w:themeColor="text1"/>
          <w:sz w:val="22"/>
          <w:szCs w:val="22"/>
        </w:rPr>
        <w:t>od 265,45 EUR, a II. i III. izmjenom i dopunom ostalo je isto.</w:t>
      </w:r>
    </w:p>
    <w:p>
      <w:pPr>
        <w:pStyle w:val="Normal"/>
        <w:ind w:firstLine="567"/>
        <w:jc w:val="both"/>
        <w:rPr/>
      </w:pPr>
      <w:r>
        <w:rPr>
          <w:color w:val="auto"/>
          <w:sz w:val="22"/>
          <w:szCs w:val="22"/>
        </w:rPr>
        <w:t>Ostvareni prihod Općine Mihovljan u 2023. godini iznosi 69,25 EUR.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 xml:space="preserve">Ostvareni prihod od vodnog doprinosa u cijelosti se </w:t>
      </w:r>
      <w:r>
        <w:rPr>
          <w:color w:val="000000" w:themeColor="text1"/>
          <w:sz w:val="22"/>
          <w:szCs w:val="22"/>
        </w:rPr>
        <w:t>utrošio za sanaciju klizišta i izgradnju nogostupa i oborinske odvodnje.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ahoma"/>
          <w:sz w:val="22"/>
          <w:szCs w:val="20"/>
        </w:rPr>
        <w:t>Ovaj Izvještaj o izvršenju Programa utroška sredstava vodnog doprinosa sastavni je dio godišnjeg izvješća o izvršenju Proračuna Općine Mihovljan za 2023. godini i objaviti će se u Službenom glasniku Krapinsko – zagorske županije.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5, 10000 Zagreb, 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sz w:val="20"/>
            <w:szCs w:val="20"/>
          </w:rPr>
          <w:t>financije@kzz.hr</w:t>
        </w:r>
      </w:hyperlink>
      <w:r>
        <w:rPr>
          <w:sz w:val="20"/>
          <w:szCs w:val="20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276" w:right="1133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sz w:val="20"/>
      <w:szCs w:val="20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 w:customStyle="1">
    <w:name w:val="ListLabel 5"/>
    <w:qFormat/>
    <w:rPr>
      <w:rFonts w:ascii="Arial Narrow" w:hAnsi="Arial Narrow" w:cs="Tahoma"/>
      <w:sz w:val="22"/>
      <w:szCs w:val="22"/>
    </w:rPr>
  </w:style>
  <w:style w:type="character" w:styleId="ListLabel6" w:customStyle="1">
    <w:name w:val="ListLabel 6"/>
    <w:qFormat/>
    <w:rPr>
      <w:rFonts w:ascii="Arial Narrow" w:hAnsi="Arial Narrow" w:cs="Tahoma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sz w:val="22"/>
      <w:szCs w:val="22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sz w:val="20"/>
      <w:szCs w:val="20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../../../C:/Users/Korisnik/Desktop/OP%C4%86INSKO%20VIJE%C4%86E/IV%20-%20SJEDNICE%20OP%C4%86INSKOG%20VIJE%C4%86A%202017-2021/26.%20SJEDNICA%2011-2020/PRIJEDLOZI/lokalni.proracuni@mfin.hr" TargetMode="External"/><Relationship Id="rId4" Type="http://schemas.openxmlformats.org/officeDocument/2006/relationships/hyperlink" Target="../../../../../../../C:/Users/Korisnik/Desktop/OP%C4%86INSKO%20VIJE%C4%86E/IV%20-%20SJEDNICE%20OP%C4%86INSKOG%20VIJE%C4%86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LibreOffice/6.2.4.2$Windows_X86_64 LibreOffice_project/2412653d852ce75f65fbfa83fb7e7b669a126d64</Application>
  <Pages>1</Pages>
  <Words>312</Words>
  <Characters>1920</Characters>
  <CharactersWithSpaces>2538</CharactersWithSpaces>
  <Paragraphs>33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2023-12-15T16:07:23Z</cp:lastPrinted>
  <dcterms:modified xsi:type="dcterms:W3CDTF">2024-04-10T08:06:46Z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