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436" w:type="dxa"/>
        <w:jc w:val="left"/>
        <w:tblInd w:w="-54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1"/>
        <w:gridCol w:w="6284"/>
      </w:tblGrid>
      <w:tr>
        <w:trPr>
          <w:trHeight w:val="1611" w:hRule="atLeast"/>
        </w:trPr>
        <w:tc>
          <w:tcPr>
            <w:tcW w:w="41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628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361-01/24-01/03</w:t>
      </w:r>
    </w:p>
    <w:p>
      <w:pPr>
        <w:pStyle w:val="Normal"/>
        <w:rPr/>
      </w:pPr>
      <w:r>
        <w:rPr>
          <w:sz w:val="22"/>
          <w:szCs w:val="22"/>
        </w:rPr>
        <w:t>URBROJ: 2140-23-1-24-02</w:t>
      </w:r>
    </w:p>
    <w:p>
      <w:pPr>
        <w:pStyle w:val="Normal"/>
        <w:rPr/>
      </w:pPr>
      <w:r>
        <w:rPr>
          <w:sz w:val="22"/>
          <w:szCs w:val="22"/>
        </w:rPr>
        <w:t>Mihovljan,  27. ožujka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24. sjednici održanoj dana 27. ožujka 2024.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IZVJEŠTAJ O IZVRŠENJU PROGRAMA GRAĐENJA OBJEKATA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sz w:val="22"/>
          <w:szCs w:val="22"/>
        </w:rPr>
        <w:t>KOMUNALNE INFRASTRUKTURE U 2023. GODINI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Programom određuje se građenje komunalne infrastrukture na području Općine Mihovljan za 2023.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uppressAutoHyphens w:val="false"/>
        <w:spacing w:lineRule="auto" w:line="276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 koje će se graditi u uređenim dijelovima građevinskog područja  i građevine koje će se rekonstruirati daju se u nastavku: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3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27"/>
        <w:gridCol w:w="2831"/>
        <w:gridCol w:w="1"/>
        <w:gridCol w:w="1293"/>
        <w:gridCol w:w="1"/>
        <w:gridCol w:w="1268"/>
        <w:gridCol w:w="2"/>
        <w:gridCol w:w="1298"/>
        <w:gridCol w:w="2"/>
        <w:gridCol w:w="6"/>
        <w:gridCol w:w="2044"/>
        <w:gridCol w:w="2"/>
        <w:gridCol w:w="912"/>
        <w:gridCol w:w="1"/>
        <w:gridCol w:w="3"/>
        <w:gridCol w:w="31"/>
        <w:gridCol w:w="2"/>
        <w:gridCol w:w="6"/>
      </w:tblGrid>
      <w:tr>
        <w:trPr>
          <w:trHeight w:val="397" w:hRule="atLeast"/>
        </w:trPr>
        <w:tc>
          <w:tcPr>
            <w:tcW w:w="10344" w:type="dxa"/>
            <w:gridSpan w:val="1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 Građevine komunalne infrastrukture koje će se graditi u uređenim dijelova građevinskog područja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94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Izvorni plan</w:t>
              <w:br/>
              <w:t xml:space="preserve"> (EUR)</w:t>
            </w:r>
          </w:p>
        </w:tc>
        <w:tc>
          <w:tcPr>
            <w:tcW w:w="1270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szCs w:val="18"/>
              </w:rPr>
              <w:t>Tekući plan (EUR)</w:t>
            </w:r>
          </w:p>
        </w:tc>
        <w:tc>
          <w:tcPr>
            <w:tcW w:w="1300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/>
            </w:pPr>
            <w:bookmarkStart w:id="0" w:name="__DdeLink__6570_282048400"/>
            <w:r>
              <w:rPr>
                <w:b/>
                <w:sz w:val="18"/>
                <w:szCs w:val="18"/>
              </w:rPr>
              <w:t>IZVRŠENJE 01.01.-31.12.2023.</w:t>
            </w:r>
            <w:bookmarkStart w:id="1" w:name="__DdeLink__4436_638047353"/>
            <w:r>
              <w:rPr>
                <w:b/>
                <w:sz w:val="18"/>
                <w:szCs w:val="18"/>
              </w:rPr>
              <w:t xml:space="preserve"> (EUR)</w:t>
            </w:r>
            <w:bookmarkEnd w:id="0"/>
            <w:bookmarkEnd w:id="1"/>
          </w:p>
        </w:tc>
        <w:tc>
          <w:tcPr>
            <w:tcW w:w="2052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Izvori financiranja</w:t>
            </w:r>
          </w:p>
        </w:tc>
        <w:tc>
          <w:tcPr>
            <w:tcW w:w="913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Pozicija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9724" w:type="dxa"/>
            <w:gridSpan w:val="17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JAVNA RASVJETA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69" w:hRule="atLeast"/>
        </w:trPr>
        <w:tc>
          <w:tcPr>
            <w:tcW w:w="620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59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Javna rasvjeta</w:t>
            </w:r>
          </w:p>
        </w:tc>
        <w:tc>
          <w:tcPr>
            <w:tcW w:w="129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16.636,06</w:t>
            </w:r>
          </w:p>
        </w:tc>
        <w:tc>
          <w:tcPr>
            <w:tcW w:w="2052" w:type="dxa"/>
            <w:gridSpan w:val="3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=6.636,14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Općine=13.272,28EUR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  <w:t>(11)Proračun Općine</w:t>
              <w:br/>
              <w:t>= 19.908,42EUR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4214.71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Nabava lampi = 9.908,42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Postava lampi =10.000,00 EUR</w:t>
            </w:r>
          </w:p>
        </w:tc>
        <w:tc>
          <w:tcPr>
            <w:tcW w:w="129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NERAZVRSTANE CESTE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5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Održavanje postojećih nerazvrstanih cesta na pod. Mihovljana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103.000,00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49.280,90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MRFFEU=46.452,98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MPGI=33.180,70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Općine=19.908,43EUR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MRFFEU=53.000,00EUR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) Proračun Općine =50.000,00EUR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4213.10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94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Troškovnik = 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 xml:space="preserve">Izvođenje radova = 100.300,00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Nadzor = 2.500,00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Rekonstrukcija nerazvrstane ceste M-Mihovljan-Kovačići-Večkovići(ishođena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</w:t>
              <w:br/>
              <w:t>=500.000,00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(81) Kredit=800.000,00 EUR 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(11) Proračun Općine=27.228,08EUR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auto"/>
                <w:sz w:val="16"/>
                <w:szCs w:val="16"/>
              </w:rPr>
              <w:t>(54) EU primici= 0,00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auto"/>
                <w:sz w:val="16"/>
                <w:szCs w:val="16"/>
              </w:rPr>
              <w:t>(81) Kredit=0,00EUR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16"/>
                <w:szCs w:val="16"/>
              </w:rPr>
              <w:t>(11) Proračun Općine=0,00EUR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Izvođenje radova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 xml:space="preserve">Konzultantske usluge = 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Autobusna stajališta uz ŽC2125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4213.14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3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i postava =0,00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620" w:type="dxa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klizišta Kuzminec u općini Mihovljan/Sanacija klizišta uzrokovanih potresima na području općine Mihovljan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99.542,10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1.180.000,00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1.176.157,66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(52) MGOR=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96.483,17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=3.058,93 EUR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 1.180.000,00EUR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premošćivanje)= 1.000.000,00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M11 Torti-Posavci = 1.320,00m, k.č.br. </w:t>
            </w:r>
            <w:r>
              <w:rPr>
                <w:color w:val="000000"/>
                <w:sz w:val="16"/>
                <w:szCs w:val="16"/>
              </w:rPr>
              <w:t xml:space="preserve">1503, 3543, </w:t>
            </w:r>
            <w:r>
              <w:rPr>
                <w:sz w:val="16"/>
                <w:szCs w:val="16"/>
              </w:rPr>
              <w:t xml:space="preserve">3539, 3544 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  <w:r>
              <w:rPr>
                <w:sz w:val="16"/>
                <w:szCs w:val="16"/>
              </w:rPr>
              <w:t xml:space="preserve">  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M25 Kovačići – Klanečnica = 1.932,00m, k.č.br. </w:t>
            </w:r>
            <w:r>
              <w:rPr>
                <w:color w:val="000000"/>
                <w:sz w:val="16"/>
                <w:szCs w:val="16"/>
              </w:rPr>
              <w:t xml:space="preserve">3496, </w:t>
            </w:r>
            <w:r>
              <w:rPr>
                <w:sz w:val="16"/>
                <w:szCs w:val="16"/>
              </w:rPr>
              <w:t>3500, 3501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M38 Rafaji-Gredlji-Putari =400,00m, k.č.br. </w:t>
            </w:r>
            <w:r>
              <w:rPr>
                <w:color w:val="000000"/>
                <w:sz w:val="16"/>
                <w:szCs w:val="16"/>
              </w:rPr>
              <w:t>1171/17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M41 Galici most – Haramini = 450,00m, k.č.br. </w:t>
            </w:r>
            <w:r>
              <w:rPr>
                <w:color w:val="000000"/>
                <w:sz w:val="16"/>
                <w:szCs w:val="16"/>
              </w:rPr>
              <w:t>3485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M12 Pušlji =254,00m, k.č.br. 3539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M7 Blaškovići – Poljaki = 430,00m, k.č.br. 3548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M8 Poljaki =85,00m, k.č.br. 3547 k.o. Mihovljan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G2 Vuđan grad- Trstenjaki =780,00m, k.č.br. </w:t>
            </w:r>
            <w:r>
              <w:rPr>
                <w:color w:val="000000"/>
                <w:sz w:val="16"/>
                <w:szCs w:val="16"/>
              </w:rPr>
              <w:t>4638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K1 Petrišćica = 136,00m, k.č.br. 4504/4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G12 Sinkovići = 1.216,00m, k.č.br. 4614/1, 4615, 4619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G14 Škudari – Vučkovići – Žalice =1.215,00m, k.č.br. 4614/1, 3455 k.o. Mihovljan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Projektna dokumentacija: 26.000,00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Izvođenje radova: 1.079.000,00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Nadzor: 35.000,00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Geodetske usluge: 10.000,00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Poslovno savjetovanje – provedba projekta i administracija: 30.000,00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JAVNE POVRŠINE KOJIMA NIJE DOPUŠTEN PROMET MOTORNIM VOZILIMA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Nogostup i oborinska odvodnja uz županijsku cestu ŽC2125 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92.905,96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110.000,00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103.299,38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26.544,56 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=53.089,12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(51) ŽUC 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MPGI=50.000,00EUR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(51) ŽUC=31.272,28 EUR 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 =28.717,72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4213.12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6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Izvođenje radova = 107.500,00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Nadzor = 2.500,00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327"/>
                <w:tab w:val="left" w:pos="908" w:leader="none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GRAĐEVINE I UREĐAJI JAVNE NAMJENE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Zgrada općine (vrata)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2.654,45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=2.654,45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4214.96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Dječji vrtić Miholjček (zgrada)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10.300,00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4.730,00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 =20.300,00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Općine=10.300,00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4212.31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=20.300,00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Obnova  Društvenog doma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39.816,84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28.816,69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6.636,14EUR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</w:t>
              <w:br/>
              <w:t xml:space="preserve"> = 33.180,70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 = 3.455,44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Min.kulture i medija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 xml:space="preserve">= </w:t>
            </w:r>
            <w:r>
              <w:rPr>
                <w:bCs/>
                <w:sz w:val="16"/>
                <w:szCs w:val="16"/>
                <w:lang w:eastAsia="en-US"/>
              </w:rPr>
              <w:t>26.544,56</w:t>
            </w:r>
            <w:r>
              <w:rPr>
                <w:sz w:val="16"/>
                <w:szCs w:val="16"/>
              </w:rPr>
              <w:t>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4214.92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Troškovnik = 100,00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Izvođenje radova = 38.700,00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Nadzor = 1.200,00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Namještaj za društveni dom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9.997.75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Općine=10.000,00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4221.22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Nabava= 10.000,00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Zemljište i zgrada- centar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13.272,28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15.000,00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15.000,00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  <w:br/>
              <w:t>=13.272,28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>=15.000,00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4111.91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Zemljište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e)</w:t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Projekti-izrada projekata i geodezija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15.000,00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11.641,87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>(11) Proračun općine</w:t>
              <w:br/>
              <w:t>=15.000,00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4126.10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15.000,00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f)</w:t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8"/>
                <w:szCs w:val="18"/>
              </w:rPr>
              <w:t xml:space="preserve">Idejno rješenje- 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5.308,91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=5.308,91 EUR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  <w:u w:val="single"/>
              </w:rPr>
              <w:t>III. izmjene i dopune:</w:t>
            </w:r>
            <w:r>
              <w:rPr>
                <w:bCs/>
                <w:sz w:val="16"/>
                <w:szCs w:val="16"/>
              </w:rPr>
              <w:br/>
            </w:r>
            <w:bookmarkStart w:id="2" w:name="__DdeLink__1505_4187476492"/>
            <w:r>
              <w:rPr>
                <w:bCs/>
                <w:sz w:val="16"/>
                <w:szCs w:val="16"/>
              </w:rPr>
              <w:t>(11) Proračun općine</w:t>
            </w:r>
            <w:bookmarkEnd w:id="2"/>
            <w:r>
              <w:rPr>
                <w:bCs/>
                <w:sz w:val="16"/>
                <w:szCs w:val="16"/>
              </w:rPr>
              <w:t xml:space="preserve"> =5.308,91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4126.11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Idejno rješenje = 5.308,91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g)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Glavni projekt i troškovnik za 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25.625,00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=25.880,95 EUR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  <w:u w:val="single"/>
              </w:rPr>
              <w:t>III. izmjene i dopune: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t>(11) Proračun općine</w:t>
            </w:r>
            <w:r>
              <w:rPr>
                <w:bCs/>
                <w:sz w:val="18"/>
                <w:szCs w:val="18"/>
              </w:rPr>
              <w:t xml:space="preserve"> =25.880,95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4126.12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25.880,95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h)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Projekt za parking za 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(11) Proračun općine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bCs/>
                <w:sz w:val="18"/>
                <w:szCs w:val="18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 xml:space="preserve">(11) Proračun općine </w:t>
            </w:r>
            <w:r>
              <w:rPr>
                <w:bCs/>
                <w:sz w:val="18"/>
                <w:szCs w:val="18"/>
              </w:rPr>
              <w:t>=9.290,60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4126.13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=9.290,60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i)</w:t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8"/>
                <w:szCs w:val="18"/>
              </w:rPr>
              <w:t>Geodezija za Multifunkcionalni kulturni i prezentacijski centar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  <w:br/>
              <w:t>=5.972,53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8"/>
                <w:szCs w:val="18"/>
              </w:rPr>
              <w:t>=5.972,53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4126.14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Geodezija = 5.972,53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j)</w:t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Projekt-širokopojasni internet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70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300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= 2.654,46 EUR</w:t>
            </w:r>
          </w:p>
        </w:tc>
        <w:tc>
          <w:tcPr>
            <w:tcW w:w="913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4126.17</w:t>
            </w:r>
          </w:p>
        </w:tc>
        <w:tc>
          <w:tcPr>
            <w:tcW w:w="42" w:type="dxa"/>
            <w:gridSpan w:val="4"/>
            <w:tcBorders>
              <w:bottom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2.654,46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l)</w:t>
            </w:r>
          </w:p>
        </w:tc>
        <w:tc>
          <w:tcPr>
            <w:tcW w:w="2859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Izdaci za geodetske usluge (izmjere i elaborati za ceste)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0,00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= 3.000,00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4126.18</w:t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59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Usluge i elaborati 3.000,00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9695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GROBLJA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Mrtvačnica Mihovljan – uređenje prilaza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26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0,00 EUR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4214.94</w:t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Izvođenje radova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Stručni 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31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Kapelica na Mjesnom groblju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 Min.kulture i medija</w:t>
              <w:br/>
              <w:t>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 = 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4214.98</w:t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Troškovnik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Izvođenje radova = 0,00 EUR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31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Oprema za mrtvačnicu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5.600,00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6.000,00 EUR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4221.93</w:t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i postava  = 6.000,00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9695" w:type="dxa"/>
            <w:gridSpan w:val="1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JAVNE ZELENE POVRŠINE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Izgradnja Parka hrvatskih branitelja u Mihovljanu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6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 =32.917,22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 Proračun općine </w:t>
              <w:br/>
              <w:t xml:space="preserve">=5.000,00EUR </w:t>
            </w:r>
          </w:p>
        </w:tc>
        <w:tc>
          <w:tcPr>
            <w:tcW w:w="95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Projekt = 10.000,00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Izvođenje radova = 0,00 EUR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57" w:type="dxa"/>
            <w:gridSpan w:val="7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8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31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Nogometno igralište u Mihovljanu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26.544,56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MINTS=13.272,28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=13.272,28EUR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 =0,00 EUR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=0,00 EUR</w:t>
            </w:r>
          </w:p>
        </w:tc>
        <w:tc>
          <w:tcPr>
            <w:tcW w:w="957" w:type="dxa"/>
            <w:gridSpan w:val="7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4214.97</w:t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Troškovnik = 0,00 EUR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 xml:space="preserve">Izvođenje radova = 0,00 EUR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5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31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Dječje igralište sa igralima i spravama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5.308,91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MRMS =0,00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957" w:type="dxa"/>
            <w:gridSpan w:val="7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5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28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Zemljište -za Dječje igralište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6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=0,00 EUR</w:t>
            </w:r>
          </w:p>
        </w:tc>
        <w:tc>
          <w:tcPr>
            <w:tcW w:w="95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Zemljište = 2.654,46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5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28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Centar:klupe,koševi i dr.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 Izvorni plan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(0,00)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=300,00  EUR</w:t>
            </w:r>
          </w:p>
        </w:tc>
        <w:tc>
          <w:tcPr>
            <w:tcW w:w="95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4221.94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1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300,00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69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5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SVEUKUPNO: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EUR </w:t>
            </w:r>
          </w:p>
        </w:tc>
        <w:tc>
          <w:tcPr>
            <w:tcW w:w="129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2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1.902.700,98 </w:t>
            </w:r>
          </w:p>
        </w:tc>
        <w:tc>
          <w:tcPr>
            <w:tcW w:w="126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em w:val="none"/>
              </w:rPr>
              <w:t>1.556.615,87</w:t>
            </w:r>
          </w:p>
        </w:tc>
        <w:tc>
          <w:tcPr>
            <w:tcW w:w="130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em w:val="none"/>
              </w:rPr>
              <w:t>1.442.096,47</w:t>
            </w:r>
          </w:p>
        </w:tc>
        <w:tc>
          <w:tcPr>
            <w:tcW w:w="2962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Fondova EU i kreditnog zaduženja sukladno Tabeli u nastavku.</w:t>
      </w:r>
    </w:p>
    <w:tbl>
      <w:tblPr>
        <w:tblW w:w="10207" w:type="dxa"/>
        <w:jc w:val="lef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06"/>
        <w:gridCol w:w="1878"/>
        <w:gridCol w:w="1937"/>
        <w:gridCol w:w="1985"/>
      </w:tblGrid>
      <w:tr>
        <w:trPr/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IZVORNI PLAN –   EUR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/>
            </w:pPr>
            <w:r>
              <w:rPr>
                <w:b/>
                <w:bCs/>
                <w:sz w:val="21"/>
                <w:szCs w:val="21"/>
              </w:rPr>
              <w:t>TEKUĆI PLAN -  EUR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IZVRŠENJE 01.01.-31.12.2023.</w:t>
            </w:r>
            <w:bookmarkStart w:id="3" w:name="__DdeLink__4436_6380473531"/>
            <w:r>
              <w:rPr>
                <w:b/>
                <w:bCs/>
                <w:sz w:val="21"/>
                <w:szCs w:val="21"/>
              </w:rPr>
              <w:t xml:space="preserve"> (EUR)</w:t>
            </w:r>
            <w:bookmarkEnd w:id="3"/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Proračun Općine Mihovljan –prihod od poreza  i prireza na dohodak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256.962,41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191.615,87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156.114,34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299.549,07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150.000,00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102.644,56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 xml:space="preserve">ŽUC-Krapinsko zagorska županija 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35.000,00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35.000,00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0,00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 xml:space="preserve">EU sredstva 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1.180.000,00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1.148.337,57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2"/>
              </w:rPr>
              <w:t>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2"/>
              </w:rPr>
              <w:t>0,00</w:t>
            </w:r>
          </w:p>
        </w:tc>
      </w:tr>
      <w:tr>
        <w:trPr/>
        <w:tc>
          <w:tcPr>
            <w:tcW w:w="4406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1.902.700,98 EUR 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1"/>
                <w:szCs w:val="21"/>
                <w:u w:val="none"/>
                <w:em w:val="none"/>
              </w:rPr>
              <w:t>1.556.615,87 EUR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1"/>
                <w:szCs w:val="21"/>
                <w:u w:val="none"/>
                <w:em w:val="none"/>
              </w:rPr>
              <w:t>1.442.096,47 EUR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Članak 5.</w:t>
      </w:r>
    </w:p>
    <w:p>
      <w:pPr>
        <w:pStyle w:val="Normal"/>
        <w:ind w:firstLine="708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 Narrow"/>
          <w:b w:val="false"/>
          <w:bCs w:val="false"/>
          <w:sz w:val="22"/>
          <w:szCs w:val="20"/>
        </w:rPr>
        <w:t xml:space="preserve">Ovaj Izvještaj o izvršenju </w:t>
      </w:r>
      <w:r>
        <w:rPr>
          <w:rFonts w:cs="Tahoma"/>
          <w:b w:val="false"/>
          <w:bCs w:val="false"/>
          <w:sz w:val="22"/>
          <w:szCs w:val="20"/>
        </w:rPr>
        <w:t>Programa gradnje objekata i uređaja komunalne infrastrukture</w:t>
      </w:r>
      <w:r>
        <w:rPr>
          <w:rFonts w:cs="Arial Narrow"/>
          <w:b w:val="false"/>
          <w:bCs w:val="false"/>
          <w:sz w:val="22"/>
          <w:szCs w:val="20"/>
        </w:rPr>
        <w:t xml:space="preserve"> u 2023. godini sastavni je dio godišnjeg izvješća o izvršenju Proračuna Općine Mihovljan za 2023. godini i objaviti će se u Službenom glasniku Krapinsko – zagorske županije.</w:t>
      </w:r>
    </w:p>
    <w:p>
      <w:pPr>
        <w:pStyle w:val="Normal"/>
        <w:ind w:firstLine="708"/>
        <w:jc w:val="both"/>
        <w:rPr>
          <w:rFonts w:cs="Arial Narrow"/>
          <w:sz w:val="22"/>
          <w:szCs w:val="20"/>
        </w:rPr>
      </w:pPr>
      <w:r>
        <w:rPr>
          <w:rFonts w:cs="Arial Narrow"/>
          <w:sz w:val="22"/>
          <w:szCs w:val="2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Predsjednik Općinskog vijeća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 xml:space="preserve">                                                                                mr. Silvestar Vučković dr.vet.med.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32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Times New Roman"/>
      <w:sz w:val="22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Times New Roman"/>
      <w:sz w:val="22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Times New Roman"/>
      <w:sz w:val="22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Times New Roman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365e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LibreOffice/6.2.4.2$Windows_X86_64 LibreOffice_project/2412653d852ce75f65fbfa83fb7e7b669a126d64</Application>
  <Pages>5</Pages>
  <Words>1598</Words>
  <Characters>9854</Characters>
  <CharactersWithSpaces>11193</CharactersWithSpaces>
  <Paragraphs>436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2023-05-08T05:38:00Z</dcterms:created>
  <dc:creator>URED-PC</dc:creator>
  <dc:description/>
  <dc:language>hr-HR</dc:language>
  <cp:lastModifiedBy/>
  <cp:lastPrinted>2024-04-10T10:09:04Z</cp:lastPrinted>
  <dcterms:modified xsi:type="dcterms:W3CDTF">2024-04-22T08:35:50Z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