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0436" w:type="dxa"/>
        <w:jc w:val="left"/>
        <w:tblInd w:w="-54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151"/>
        <w:gridCol w:w="6284"/>
      </w:tblGrid>
      <w:tr>
        <w:trPr>
          <w:trHeight w:val="1611" w:hRule="atLeast"/>
        </w:trPr>
        <w:tc>
          <w:tcPr>
            <w:tcW w:w="415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bCs/>
                <w:sz w:val="22"/>
              </w:rPr>
            </w:pPr>
            <w:r>
              <w:rPr/>
              <w:drawing>
                <wp:inline distT="0" distB="0" distL="0" distR="0">
                  <wp:extent cx="478155" cy="553085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REPUBLIKA HRVATSKA</w:t>
            </w:r>
          </w:p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KRAPINSKO - ZAGORSKA ŽUPANIJA</w:t>
            </w:r>
          </w:p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OPĆINA MIHOVLJAN</w:t>
            </w:r>
          </w:p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OPĆINSKO VIJEĆE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</w:r>
          </w:p>
        </w:tc>
        <w:tc>
          <w:tcPr>
            <w:tcW w:w="6284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2"/>
                <w:u w:val="single"/>
                <w:lang w:eastAsia="en-US"/>
              </w:rPr>
            </w:pPr>
            <w:r>
              <w:rPr>
                <w:b/>
                <w:sz w:val="22"/>
                <w:u w:val="single"/>
                <w:lang w:eastAsia="en-US"/>
              </w:rPr>
            </w:r>
          </w:p>
        </w:tc>
      </w:tr>
    </w:tbl>
    <w:p>
      <w:pPr>
        <w:pStyle w:val="Normal"/>
        <w:rPr/>
      </w:pPr>
      <w:r>
        <w:rPr>
          <w:sz w:val="22"/>
          <w:szCs w:val="22"/>
        </w:rPr>
        <w:t>KLASA: 361-01/24-01/03</w:t>
      </w:r>
    </w:p>
    <w:p>
      <w:pPr>
        <w:pStyle w:val="Normal"/>
        <w:rPr/>
      </w:pPr>
      <w:r>
        <w:rPr>
          <w:sz w:val="22"/>
          <w:szCs w:val="22"/>
        </w:rPr>
        <w:t>URBROJ: 2140-23-1-24-02</w:t>
      </w:r>
    </w:p>
    <w:p>
      <w:pPr>
        <w:pStyle w:val="Normal"/>
        <w:rPr/>
      </w:pPr>
      <w:r>
        <w:rPr>
          <w:sz w:val="22"/>
          <w:szCs w:val="22"/>
        </w:rPr>
        <w:t>Mihovljan,  27. ožujka 2024.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Na temelju odredbe članka 67. Stavak 1 Zakona o komunalnom gospodarstvu („Narodne novine“ broj 68/18 i 110/18, 32/20), članka 30. Zakona o vodama („Narodne Novine“ br. 66/19, 84/21) i članka 39. Statuta Općine Mihovljan („Službeni glasnik Krapinsko-zagorske županije“ br. 5/13, 11/18, 8/20, 8/21), Općinsko vijeće Općine Mihovljan na svojoj 24. sjednici održanoj dana 27. ožujka 2024. godine, donijelo je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IZVJEŠTAJ O IZVRŠENJU PROGRAMA GRAĐENJA OBJEKATA 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cs="Tahoma"/>
          <w:b/>
          <w:sz w:val="22"/>
          <w:szCs w:val="22"/>
        </w:rPr>
        <w:t>KOMUNALNE INFRASTRUKTURE U 2023. GODINI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Članak 1.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ab/>
        <w:t>Ovim Programom određuje se građenje komunalne infrastrukture na području Općine Mihovljan za 2023. godinu, a istim se određuju: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građevine komunalne infrastrukture koje će se graditi radi uređenja neuređenih dijelova građevinskog područja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 xml:space="preserve">građevine komunalne infrastrukture koje će se graditi u uređenim dijelovima građevinskog područja 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 xml:space="preserve">građevine koje će se graditi izvan građevinskog područja 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postojeće građevine komunalne infrastrukture koje će se rekonstruirati i način rekonstrukcije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građevine komunalne infrastrukture koje će se uklanjati</w:t>
      </w:r>
    </w:p>
    <w:p>
      <w:pPr>
        <w:pStyle w:val="Normal"/>
        <w:suppressAutoHyphens w:val="false"/>
        <w:spacing w:lineRule="auto" w:line="276"/>
        <w:ind w:left="72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Program se odnosi na građenje objekata i uređaja komunalne infrastrukture i to na:</w:t>
      </w:r>
    </w:p>
    <w:p>
      <w:pPr>
        <w:pStyle w:val="Normal"/>
        <w:widowControl w:val="false"/>
        <w:numPr>
          <w:ilvl w:val="0"/>
          <w:numId w:val="1"/>
        </w:numPr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nerazvrstane ceste</w:t>
      </w:r>
    </w:p>
    <w:p>
      <w:pPr>
        <w:pStyle w:val="Normal"/>
        <w:widowControl w:val="false"/>
        <w:numPr>
          <w:ilvl w:val="0"/>
          <w:numId w:val="1"/>
        </w:numPr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javne površine (javne prometne površine na kojima nije dopušten promet motornih vozila, javna parkirališta, javne garaže, javne zelene površine)</w:t>
      </w:r>
    </w:p>
    <w:p>
      <w:pPr>
        <w:pStyle w:val="Normal"/>
        <w:widowControl w:val="false"/>
        <w:numPr>
          <w:ilvl w:val="0"/>
          <w:numId w:val="1"/>
        </w:numPr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građevine i uređaje javne namjene</w:t>
      </w:r>
    </w:p>
    <w:p>
      <w:pPr>
        <w:pStyle w:val="Normal"/>
        <w:widowControl w:val="false"/>
        <w:numPr>
          <w:ilvl w:val="0"/>
          <w:numId w:val="1"/>
        </w:numPr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javnu rasvjetu</w:t>
      </w:r>
    </w:p>
    <w:p>
      <w:pPr>
        <w:pStyle w:val="Normal"/>
        <w:widowControl w:val="false"/>
        <w:numPr>
          <w:ilvl w:val="0"/>
          <w:numId w:val="1"/>
        </w:numPr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groblja i krematorije na grobljima</w:t>
      </w:r>
    </w:p>
    <w:p>
      <w:pPr>
        <w:pStyle w:val="Normal"/>
        <w:widowControl w:val="false"/>
        <w:numPr>
          <w:ilvl w:val="0"/>
          <w:numId w:val="1"/>
        </w:numPr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građevine namijenjene obavljanju javnog prijevoza </w:t>
      </w:r>
    </w:p>
    <w:p>
      <w:pPr>
        <w:pStyle w:val="Normal"/>
        <w:widowControl w:val="false"/>
        <w:spacing w:lineRule="auto" w:line="276"/>
        <w:ind w:left="1068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spacing w:lineRule="auto" w:line="276"/>
        <w:ind w:left="1068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Članak 2.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ab/>
        <w:t>Program građenja komunalne infrastrukture sadrži procjenu troškova nastalih za rješavanje imovinskopravnih odnosa, projektiranja, građenja, provedbe stručnog nadzora građenja i provedbe vođenja projekata građenja komunalne infrastrukture s naznakom izvora njihova financiranja.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Članak 3.</w:t>
      </w:r>
    </w:p>
    <w:p>
      <w:pPr>
        <w:pStyle w:val="NoSpacing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Ovim Programom nisu predviđene građevine komunalne infrastrukture koje će se graditi izvan građevinskog područja, niti ima građevina predviđenih za uklanjanje. Također nije predviđeno građenje građevina za gospodarenje komunalnim otpadom.</w:t>
      </w:r>
    </w:p>
    <w:p>
      <w:pPr>
        <w:pStyle w:val="Normal"/>
        <w:suppressAutoHyphens w:val="false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Građevine koje će se graditi radi uređenja neuređenih dijelova građevinskog područja, građevine koje će se graditi u uređenim dijelovima građevinskog područja  i građevine koje će se rekonstruirati daju se u nastavku:</w:t>
      </w:r>
    </w:p>
    <w:p>
      <w:pPr>
        <w:pStyle w:val="Normal"/>
        <w:suppressAutoHyphens w:val="false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false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false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false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false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false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false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Reetkatablice"/>
        <w:tblW w:w="1035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0"/>
        <w:gridCol w:w="27"/>
        <w:gridCol w:w="2831"/>
        <w:gridCol w:w="1"/>
        <w:gridCol w:w="1293"/>
        <w:gridCol w:w="1"/>
        <w:gridCol w:w="1268"/>
        <w:gridCol w:w="2"/>
        <w:gridCol w:w="1298"/>
        <w:gridCol w:w="2"/>
        <w:gridCol w:w="6"/>
        <w:gridCol w:w="2044"/>
        <w:gridCol w:w="2"/>
        <w:gridCol w:w="912"/>
        <w:gridCol w:w="1"/>
        <w:gridCol w:w="3"/>
        <w:gridCol w:w="31"/>
        <w:gridCol w:w="2"/>
        <w:gridCol w:w="6"/>
      </w:tblGrid>
      <w:tr>
        <w:trPr>
          <w:trHeight w:val="397" w:hRule="atLeast"/>
        </w:trPr>
        <w:tc>
          <w:tcPr>
            <w:tcW w:w="10344" w:type="dxa"/>
            <w:gridSpan w:val="18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1. Građevine komunalne infrastrukture koje će se graditi u uređenim dijelova građevinskog područja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620" w:type="dxa"/>
            <w:tcBorders>
              <w:top w:val="nil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r.br.</w:t>
            </w:r>
          </w:p>
        </w:tc>
        <w:tc>
          <w:tcPr>
            <w:tcW w:w="2859" w:type="dxa"/>
            <w:gridSpan w:val="3"/>
            <w:tcBorders>
              <w:top w:val="nil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Opis</w:t>
            </w:r>
          </w:p>
        </w:tc>
        <w:tc>
          <w:tcPr>
            <w:tcW w:w="1294" w:type="dxa"/>
            <w:gridSpan w:val="2"/>
            <w:tcBorders>
              <w:top w:val="nil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Izvorni plan</w:t>
              <w:br/>
              <w:t xml:space="preserve"> (EUR)</w:t>
            </w:r>
          </w:p>
        </w:tc>
        <w:tc>
          <w:tcPr>
            <w:tcW w:w="1270" w:type="dxa"/>
            <w:gridSpan w:val="2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18"/>
                <w:szCs w:val="18"/>
              </w:rPr>
              <w:t>Tekući plan (EUR)</w:t>
            </w:r>
          </w:p>
        </w:tc>
        <w:tc>
          <w:tcPr>
            <w:tcW w:w="1300" w:type="dxa"/>
            <w:gridSpan w:val="2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jc w:val="center"/>
              <w:rPr/>
            </w:pPr>
            <w:bookmarkStart w:id="0" w:name="__DdeLink__6570_282048400"/>
            <w:r>
              <w:rPr>
                <w:b/>
                <w:sz w:val="18"/>
                <w:szCs w:val="18"/>
              </w:rPr>
              <w:t>IZVRŠENJE 01.01.-31.12.2023.</w:t>
            </w:r>
            <w:bookmarkStart w:id="1" w:name="__DdeLink__4436_638047353"/>
            <w:r>
              <w:rPr>
                <w:b/>
                <w:sz w:val="18"/>
                <w:szCs w:val="18"/>
              </w:rPr>
              <w:t xml:space="preserve"> (EUR)</w:t>
            </w:r>
            <w:bookmarkEnd w:id="0"/>
            <w:bookmarkEnd w:id="1"/>
          </w:p>
        </w:tc>
        <w:tc>
          <w:tcPr>
            <w:tcW w:w="2052" w:type="dxa"/>
            <w:gridSpan w:val="3"/>
            <w:tcBorders>
              <w:top w:val="nil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Izvori financiranja</w:t>
            </w:r>
          </w:p>
        </w:tc>
        <w:tc>
          <w:tcPr>
            <w:tcW w:w="913" w:type="dxa"/>
            <w:gridSpan w:val="2"/>
            <w:tcBorders>
              <w:top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Pozicija</w:t>
            </w:r>
          </w:p>
        </w:tc>
        <w:tc>
          <w:tcPr>
            <w:tcW w:w="4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20" w:type="dxa"/>
            <w:tcBorders>
              <w:top w:val="nil"/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1.1.</w:t>
            </w:r>
          </w:p>
        </w:tc>
        <w:tc>
          <w:tcPr>
            <w:tcW w:w="9724" w:type="dxa"/>
            <w:gridSpan w:val="17"/>
            <w:tcBorders>
              <w:top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sz w:val="18"/>
                <w:szCs w:val="18"/>
              </w:rPr>
              <w:t>JAVNA RASVJETA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69" w:hRule="atLeast"/>
        </w:trPr>
        <w:tc>
          <w:tcPr>
            <w:tcW w:w="620" w:type="dxa"/>
            <w:tcBorders/>
            <w:shd w:color="auto" w:fill="EEEEEE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a)</w:t>
            </w:r>
          </w:p>
        </w:tc>
        <w:tc>
          <w:tcPr>
            <w:tcW w:w="2859" w:type="dxa"/>
            <w:gridSpan w:val="3"/>
            <w:tcBorders/>
            <w:shd w:color="auto" w:fill="EEEEEE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Javna rasvjeta</w:t>
            </w:r>
          </w:p>
        </w:tc>
        <w:tc>
          <w:tcPr>
            <w:tcW w:w="1294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19.908,42</w:t>
            </w:r>
          </w:p>
        </w:tc>
        <w:tc>
          <w:tcPr>
            <w:tcW w:w="1270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19.908,42</w:t>
            </w:r>
          </w:p>
        </w:tc>
        <w:tc>
          <w:tcPr>
            <w:tcW w:w="1300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16.636,06</w:t>
            </w:r>
          </w:p>
        </w:tc>
        <w:tc>
          <w:tcPr>
            <w:tcW w:w="2052" w:type="dxa"/>
            <w:gridSpan w:val="3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(52) MPGI =6.636,14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Općine=13.272,28EUR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III. izmjene i dopune: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br/>
              <w:t>(11)Proračun Općine</w:t>
              <w:br/>
              <w:t>= 19.908,42EUR</w:t>
            </w:r>
          </w:p>
        </w:tc>
        <w:tc>
          <w:tcPr>
            <w:tcW w:w="913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4214.71</w:t>
            </w:r>
          </w:p>
        </w:tc>
        <w:tc>
          <w:tcPr>
            <w:tcW w:w="4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2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85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Nabava lampi = 9.908,42 EUR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Postava lampi =10.000,00 EUR</w:t>
            </w:r>
          </w:p>
        </w:tc>
        <w:tc>
          <w:tcPr>
            <w:tcW w:w="1294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0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00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052" w:type="dxa"/>
            <w:gridSpan w:val="3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13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20" w:type="dxa"/>
            <w:tcBorders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1.2.</w:t>
            </w:r>
          </w:p>
        </w:tc>
        <w:tc>
          <w:tcPr>
            <w:tcW w:w="9724" w:type="dxa"/>
            <w:gridSpan w:val="17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sz w:val="18"/>
                <w:szCs w:val="18"/>
              </w:rPr>
              <w:t>NERAZVRSTANE CESTE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685" w:hRule="atLeast"/>
        </w:trPr>
        <w:tc>
          <w:tcPr>
            <w:tcW w:w="620" w:type="dxa"/>
            <w:tcBorders>
              <w:top w:val="nil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a)</w:t>
            </w:r>
          </w:p>
        </w:tc>
        <w:tc>
          <w:tcPr>
            <w:tcW w:w="2859" w:type="dxa"/>
            <w:gridSpan w:val="3"/>
            <w:tcBorders>
              <w:top w:val="nil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Održavanje postojećih nerazvrstanih cesta na pod. Mihovljana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99.542,11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103.000,00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49.280,90</w:t>
            </w:r>
          </w:p>
        </w:tc>
        <w:tc>
          <w:tcPr>
            <w:tcW w:w="2052" w:type="dxa"/>
            <w:gridSpan w:val="3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(52) MRFFEU=46.452,98 EUR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(52) MPGI=33.180,70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Općine=19.908,43EUR</w:t>
            </w:r>
          </w:p>
          <w:p>
            <w:pPr>
              <w:pStyle w:val="Normal"/>
              <w:widowControl w:val="false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III. izmjene i dopune: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(52) MRFFEU=53.000,00EUR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11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) Proračun Općine =50.000,00EUR</w:t>
            </w:r>
          </w:p>
        </w:tc>
        <w:tc>
          <w:tcPr>
            <w:tcW w:w="913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4213.10</w:t>
            </w:r>
          </w:p>
        </w:tc>
        <w:tc>
          <w:tcPr>
            <w:tcW w:w="4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794" w:hRule="atLeast"/>
        </w:trPr>
        <w:tc>
          <w:tcPr>
            <w:tcW w:w="620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859" w:type="dxa"/>
            <w:gridSpan w:val="3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Troškovnik = 200,00 EUR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 xml:space="preserve">Izvođenje radova = 100.300,00 EUR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Nadzor = 2.500,00 EUR</w:t>
            </w:r>
          </w:p>
        </w:tc>
        <w:tc>
          <w:tcPr>
            <w:tcW w:w="1294" w:type="dxa"/>
            <w:gridSpan w:val="2"/>
            <w:vMerge w:val="continue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0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00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052" w:type="dxa"/>
            <w:gridSpan w:val="3"/>
            <w:vMerge w:val="continue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gridSpan w:val="2"/>
            <w:vMerge w:val="continue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20" w:type="dxa"/>
            <w:tcBorders>
              <w:top w:val="nil"/>
              <w:right w:val="nil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b)</w:t>
            </w:r>
          </w:p>
        </w:tc>
        <w:tc>
          <w:tcPr>
            <w:tcW w:w="2859" w:type="dxa"/>
            <w:gridSpan w:val="3"/>
            <w:tcBorders>
              <w:top w:val="nil"/>
              <w:right w:val="nil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Rekonstrukcija nerazvrstane ceste M-Mihovljan-Kovačići-Večkovići(ishođena građevinska dozvola)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1.327.228,08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Default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Default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052" w:type="dxa"/>
            <w:gridSpan w:val="3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Default"/>
              <w:widowControl w:val="false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(54) EU primici</w:t>
              <w:br/>
              <w:t>=500.000,00 EUR</w:t>
            </w:r>
          </w:p>
          <w:p>
            <w:pPr>
              <w:pStyle w:val="Default"/>
              <w:widowControl w:val="false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(81) Kredit=800.000,00 EUR  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(11) Proračun Općine=27.228,08EUR</w:t>
            </w:r>
          </w:p>
          <w:p>
            <w:pPr>
              <w:pStyle w:val="Default"/>
              <w:widowControl w:val="false"/>
              <w:rPr>
                <w:color w:val="auto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III. izmjene i dopune:</w:t>
            </w:r>
          </w:p>
          <w:p>
            <w:pPr>
              <w:pStyle w:val="Default"/>
              <w:widowControl w:val="false"/>
              <w:rPr/>
            </w:pPr>
            <w:r>
              <w:rPr>
                <w:color w:val="auto"/>
                <w:sz w:val="16"/>
                <w:szCs w:val="16"/>
              </w:rPr>
              <w:t>(54) EU primici= 0,00</w:t>
            </w:r>
          </w:p>
          <w:p>
            <w:pPr>
              <w:pStyle w:val="Default"/>
              <w:widowControl w:val="false"/>
              <w:rPr/>
            </w:pPr>
            <w:r>
              <w:rPr>
                <w:color w:val="auto"/>
                <w:sz w:val="16"/>
                <w:szCs w:val="16"/>
              </w:rPr>
              <w:t>(81) Kredit=0,00EUR</w:t>
            </w:r>
          </w:p>
          <w:p>
            <w:pPr>
              <w:pStyle w:val="Default"/>
              <w:widowControl w:val="false"/>
              <w:rPr/>
            </w:pPr>
            <w:r>
              <w:rPr>
                <w:sz w:val="16"/>
                <w:szCs w:val="16"/>
              </w:rPr>
              <w:t>(11) Proračun Općine=0,00EUR</w:t>
            </w:r>
          </w:p>
        </w:tc>
        <w:tc>
          <w:tcPr>
            <w:tcW w:w="913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4213.11</w:t>
            </w:r>
          </w:p>
        </w:tc>
        <w:tc>
          <w:tcPr>
            <w:tcW w:w="4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6" w:hRule="atLeast"/>
        </w:trPr>
        <w:tc>
          <w:tcPr>
            <w:tcW w:w="620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859" w:type="dxa"/>
            <w:gridSpan w:val="3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Izvođenje radova = 0,00 EUR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 xml:space="preserve">Konzultantske usluge = 0,00 EUR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Nadzor = 0,00 EUR</w:t>
            </w:r>
          </w:p>
        </w:tc>
        <w:tc>
          <w:tcPr>
            <w:tcW w:w="1294" w:type="dxa"/>
            <w:gridSpan w:val="2"/>
            <w:vMerge w:val="continue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0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00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052" w:type="dxa"/>
            <w:gridSpan w:val="3"/>
            <w:vMerge w:val="continue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gridSpan w:val="2"/>
            <w:vMerge w:val="continue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17" w:hRule="atLeast"/>
        </w:trPr>
        <w:tc>
          <w:tcPr>
            <w:tcW w:w="620" w:type="dxa"/>
            <w:tcBorders>
              <w:top w:val="nil"/>
              <w:right w:val="nil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c)</w:t>
            </w:r>
          </w:p>
        </w:tc>
        <w:tc>
          <w:tcPr>
            <w:tcW w:w="2859" w:type="dxa"/>
            <w:gridSpan w:val="3"/>
            <w:tcBorders>
              <w:top w:val="nil"/>
              <w:right w:val="nil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Autobusna stajališta uz ŽC2125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3.981,68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52" w:type="dxa"/>
            <w:gridSpan w:val="3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Općine= 3.981,68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III. izmjene i dopune: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</w:t>
              <w:br/>
              <w:t>= 0,00EUR</w:t>
            </w:r>
          </w:p>
        </w:tc>
        <w:tc>
          <w:tcPr>
            <w:tcW w:w="913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4213.14</w:t>
            </w:r>
          </w:p>
        </w:tc>
        <w:tc>
          <w:tcPr>
            <w:tcW w:w="4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23" w:hRule="atLeast"/>
        </w:trPr>
        <w:tc>
          <w:tcPr>
            <w:tcW w:w="620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859" w:type="dxa"/>
            <w:gridSpan w:val="3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Nabava i postava =0,00 EUR</w:t>
            </w:r>
          </w:p>
        </w:tc>
        <w:tc>
          <w:tcPr>
            <w:tcW w:w="1294" w:type="dxa"/>
            <w:gridSpan w:val="2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0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00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052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620" w:type="dxa"/>
            <w:tcBorders>
              <w:right w:val="nil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d)</w:t>
            </w:r>
          </w:p>
        </w:tc>
        <w:tc>
          <w:tcPr>
            <w:tcW w:w="2859" w:type="dxa"/>
            <w:gridSpan w:val="3"/>
            <w:tcBorders>
              <w:right w:val="nil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Sanacija klizišta Kuzminec u općini Mihovljan/Sanacija klizišta uzrokovanih potresima na području općine Mihovljan </w:t>
            </w:r>
          </w:p>
        </w:tc>
        <w:tc>
          <w:tcPr>
            <w:tcW w:w="1294" w:type="dxa"/>
            <w:gridSpan w:val="2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99.542,10</w:t>
            </w:r>
          </w:p>
        </w:tc>
        <w:tc>
          <w:tcPr>
            <w:tcW w:w="1270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u w:val="none"/>
              </w:rPr>
              <w:t>1.180.000,00</w:t>
            </w:r>
          </w:p>
        </w:tc>
        <w:tc>
          <w:tcPr>
            <w:tcW w:w="1300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u w:val="none"/>
              </w:rPr>
              <w:t>1.176.157,66</w:t>
            </w:r>
          </w:p>
        </w:tc>
        <w:tc>
          <w:tcPr>
            <w:tcW w:w="2052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16"/>
                <w:szCs w:val="16"/>
              </w:rPr>
              <w:t>(52) MGOR=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16"/>
                <w:szCs w:val="16"/>
              </w:rPr>
              <w:t>96.483,17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</w:t>
              <w:br/>
              <w:t>=3.058,93 EUR</w:t>
            </w:r>
          </w:p>
          <w:p>
            <w:pPr>
              <w:pStyle w:val="Default"/>
              <w:widowControl w:val="false"/>
              <w:rPr/>
            </w:pPr>
            <w:r>
              <w:rPr>
                <w:sz w:val="16"/>
                <w:szCs w:val="16"/>
                <w:u w:val="single"/>
              </w:rPr>
              <w:t>III. izmjene i dopune:</w:t>
            </w:r>
          </w:p>
          <w:p>
            <w:pPr>
              <w:pStyle w:val="Default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(54) EU primici = 1.180.000,00EUR</w:t>
            </w:r>
          </w:p>
          <w:p>
            <w:pPr>
              <w:pStyle w:val="Default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(81) Kredit (za premošćivanje)= 1.000.000,00 EUR</w:t>
            </w:r>
          </w:p>
        </w:tc>
        <w:tc>
          <w:tcPr>
            <w:tcW w:w="913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4214.91</w:t>
            </w:r>
          </w:p>
        </w:tc>
        <w:tc>
          <w:tcPr>
            <w:tcW w:w="4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779" w:hRule="atLeast"/>
        </w:trPr>
        <w:tc>
          <w:tcPr>
            <w:tcW w:w="620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859" w:type="dxa"/>
            <w:gridSpan w:val="3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M11 Torti-Posavci = 1.320,00m, k.č.br. </w:t>
            </w:r>
            <w:r>
              <w:rPr>
                <w:color w:val="000000"/>
                <w:sz w:val="16"/>
                <w:szCs w:val="16"/>
              </w:rPr>
              <w:t xml:space="preserve">1503, 3543, </w:t>
            </w:r>
            <w:r>
              <w:rPr>
                <w:sz w:val="16"/>
                <w:szCs w:val="16"/>
              </w:rPr>
              <w:t xml:space="preserve">3539, 3544 </w:t>
            </w:r>
            <w:r>
              <w:rPr>
                <w:color w:val="000000"/>
                <w:sz w:val="16"/>
                <w:szCs w:val="16"/>
              </w:rPr>
              <w:t xml:space="preserve"> k.o. Mihovljan</w:t>
            </w:r>
            <w:r>
              <w:rPr>
                <w:sz w:val="16"/>
                <w:szCs w:val="16"/>
              </w:rPr>
              <w:t xml:space="preserve">   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M25 Kovačići – Klanečnica = 1.932,00m, k.č.br. </w:t>
            </w:r>
            <w:r>
              <w:rPr>
                <w:color w:val="000000"/>
                <w:sz w:val="16"/>
                <w:szCs w:val="16"/>
              </w:rPr>
              <w:t xml:space="preserve">3496, </w:t>
            </w:r>
            <w:r>
              <w:rPr>
                <w:sz w:val="16"/>
                <w:szCs w:val="16"/>
              </w:rPr>
              <w:t>3500, 3501</w:t>
            </w:r>
            <w:r>
              <w:rPr>
                <w:color w:val="000000"/>
                <w:sz w:val="16"/>
                <w:szCs w:val="16"/>
              </w:rPr>
              <w:t xml:space="preserve"> k.o. Mihovljan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M38 Rafaji-Gredlji-Putari =400,00m, k.č.br. </w:t>
            </w:r>
            <w:r>
              <w:rPr>
                <w:color w:val="000000"/>
                <w:sz w:val="16"/>
                <w:szCs w:val="16"/>
              </w:rPr>
              <w:t>1171/17 k.o. Mihovljan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M41 Galici most – Haramini = 450,00m, k.č.br. </w:t>
            </w:r>
            <w:r>
              <w:rPr>
                <w:color w:val="000000"/>
                <w:sz w:val="16"/>
                <w:szCs w:val="16"/>
              </w:rPr>
              <w:t>3485 k.o. Mihovljan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M12 Pušlji =254,00m, k.č.br. 3539 k.o. Mihovljan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M7 Blaškovići – Poljaki = 430,00m, k.č.br. 3548 k.o. Mihovljan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M8 Poljaki =85,00m, k.č.br. 3547 k.o. Mihovljan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G2 Vuđan grad- Trstenjaki =780,00m, k.č.br. </w:t>
            </w:r>
            <w:r>
              <w:rPr>
                <w:color w:val="000000"/>
                <w:sz w:val="16"/>
                <w:szCs w:val="16"/>
              </w:rPr>
              <w:t>4638 k.o. Veternica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K1 Petrišćica = 136,00m, k.č.br. 4504/4 k.o. Veternica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G12 Sinkovići = 1.216,00m, k.č.br. 4614/1, 4615, 4619 k.o. Veternica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G14 Škudari – Vučkovići – Žalice =1.215,00m, k.č.br. 4614/1, 3455 k.o. Mihovljan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Projektna dokumentacija: 26.000,00 EUR</w:t>
            </w:r>
          </w:p>
          <w:p>
            <w:pPr>
              <w:pStyle w:val="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Izvođenje radova: 1.079.000,00 EUR</w:t>
            </w:r>
          </w:p>
          <w:p>
            <w:pPr>
              <w:pStyle w:val="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Nadzor: 35.000,00 EUR</w:t>
            </w:r>
          </w:p>
          <w:p>
            <w:pPr>
              <w:pStyle w:val="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Geodetske usluge: 10.000,00 EUR</w:t>
            </w:r>
          </w:p>
          <w:p>
            <w:pPr>
              <w:pStyle w:val="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Poslovno savjetovanje – provedba projekta i administracija: 30.000,00 EUR</w:t>
            </w:r>
          </w:p>
        </w:tc>
        <w:tc>
          <w:tcPr>
            <w:tcW w:w="1294" w:type="dxa"/>
            <w:gridSpan w:val="2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0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00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052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779" w:hRule="atLeast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859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12" w:hRule="atLeast"/>
        </w:trPr>
        <w:tc>
          <w:tcPr>
            <w:tcW w:w="620" w:type="dxa"/>
            <w:tcBorders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1.3.</w:t>
            </w:r>
          </w:p>
        </w:tc>
        <w:tc>
          <w:tcPr>
            <w:tcW w:w="9724" w:type="dxa"/>
            <w:gridSpan w:val="17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JAVNE POVRŠINE KOJIMA NIJE DOPUŠTEN PROMET MOTORNIM VOZILIMA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20" w:type="dxa"/>
            <w:tcBorders>
              <w:top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a)</w:t>
            </w:r>
          </w:p>
        </w:tc>
        <w:tc>
          <w:tcPr>
            <w:tcW w:w="2859" w:type="dxa"/>
            <w:gridSpan w:val="3"/>
            <w:tcBorders>
              <w:top w:val="nil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Nogostup i oborinska odvodnja uz županijsku cestu ŽC2125 (ishođena građevinska dozvola)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92.905,96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u w:val="none"/>
              </w:rPr>
              <w:t>110.000,00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u w:val="none"/>
              </w:rPr>
              <w:t>103.299,38</w:t>
            </w:r>
          </w:p>
        </w:tc>
        <w:tc>
          <w:tcPr>
            <w:tcW w:w="2052" w:type="dxa"/>
            <w:gridSpan w:val="3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(11) Proračun Općine </w:t>
              <w:br/>
              <w:t>= 26.544,56 EUR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(52) MPGI =53.089,12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(51) ŽUC =13.272,28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III. izmjene i dopune: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(52) MPGI=50.000,00EUR 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(51) ŽUC=31.272,28 EUR  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 =28.717,72 EUR</w:t>
            </w:r>
          </w:p>
        </w:tc>
        <w:tc>
          <w:tcPr>
            <w:tcW w:w="913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4213.12</w:t>
            </w:r>
          </w:p>
        </w:tc>
        <w:tc>
          <w:tcPr>
            <w:tcW w:w="4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16" w:hRule="atLeast"/>
        </w:trPr>
        <w:tc>
          <w:tcPr>
            <w:tcW w:w="620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859" w:type="dxa"/>
            <w:gridSpan w:val="3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6"/>
                <w:szCs w:val="16"/>
              </w:rPr>
              <w:t xml:space="preserve">Izvođenje radova = 107.500,00 EUR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16"/>
                <w:szCs w:val="16"/>
              </w:rPr>
              <w:t>Nadzor = 2.500,00 EUR</w:t>
            </w:r>
          </w:p>
        </w:tc>
        <w:tc>
          <w:tcPr>
            <w:tcW w:w="1294" w:type="dxa"/>
            <w:gridSpan w:val="2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tabs>
                <w:tab w:val="clear" w:pos="327"/>
                <w:tab w:val="left" w:pos="908" w:leader="none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0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00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052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13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20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1.4.</w:t>
            </w:r>
          </w:p>
        </w:tc>
        <w:tc>
          <w:tcPr>
            <w:tcW w:w="9724" w:type="dxa"/>
            <w:gridSpan w:val="17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GRAĐEVINE I UREĐAJI JAVNE NAMJENE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20" w:type="dxa"/>
            <w:tcBorders>
              <w:top w:val="nil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a)</w:t>
            </w:r>
          </w:p>
        </w:tc>
        <w:tc>
          <w:tcPr>
            <w:tcW w:w="2859" w:type="dxa"/>
            <w:gridSpan w:val="3"/>
            <w:tcBorders>
              <w:top w:val="nil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Zgrada općine (vrata)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2.654,45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52" w:type="dxa"/>
            <w:gridSpan w:val="3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(11) Proračun Općine 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=2.654,45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III. izmjene i dopune: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=0,00 EUR</w:t>
            </w:r>
          </w:p>
        </w:tc>
        <w:tc>
          <w:tcPr>
            <w:tcW w:w="913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4214.96</w:t>
            </w:r>
          </w:p>
        </w:tc>
        <w:tc>
          <w:tcPr>
            <w:tcW w:w="4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6" w:hRule="atLeast"/>
        </w:trPr>
        <w:tc>
          <w:tcPr>
            <w:tcW w:w="620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859" w:type="dxa"/>
            <w:gridSpan w:val="3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6"/>
                <w:szCs w:val="16"/>
              </w:rPr>
              <w:t>Nabava i postava = 0,00 EUR</w:t>
            </w:r>
          </w:p>
        </w:tc>
        <w:tc>
          <w:tcPr>
            <w:tcW w:w="1294" w:type="dxa"/>
            <w:gridSpan w:val="2"/>
            <w:vMerge w:val="continue"/>
            <w:tcBorders>
              <w:top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0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00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052" w:type="dxa"/>
            <w:gridSpan w:val="3"/>
            <w:vMerge w:val="continue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13" w:type="dxa"/>
            <w:gridSpan w:val="2"/>
            <w:vMerge w:val="continue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20" w:type="dxa"/>
            <w:tcBorders>
              <w:top w:val="nil"/>
              <w:right w:val="nil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b)</w:t>
            </w:r>
          </w:p>
        </w:tc>
        <w:tc>
          <w:tcPr>
            <w:tcW w:w="2859" w:type="dxa"/>
            <w:gridSpan w:val="3"/>
            <w:tcBorders>
              <w:top w:val="nil"/>
              <w:right w:val="nil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Dječji vrtić Miholjček (zgrada)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20.300,00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10.300,00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4.730,00</w:t>
            </w:r>
          </w:p>
        </w:tc>
        <w:tc>
          <w:tcPr>
            <w:tcW w:w="2052" w:type="dxa"/>
            <w:gridSpan w:val="3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 =20.300,00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III. izmjene i dopune: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Općine=10.300,00 EUR</w:t>
            </w:r>
          </w:p>
        </w:tc>
        <w:tc>
          <w:tcPr>
            <w:tcW w:w="913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4212.31</w:t>
            </w:r>
          </w:p>
        </w:tc>
        <w:tc>
          <w:tcPr>
            <w:tcW w:w="4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6" w:hRule="atLeast"/>
        </w:trPr>
        <w:tc>
          <w:tcPr>
            <w:tcW w:w="620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859" w:type="dxa"/>
            <w:gridSpan w:val="3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6"/>
                <w:szCs w:val="16"/>
              </w:rPr>
              <w:t>Nabava i postava =20.300,00 EUR</w:t>
            </w:r>
          </w:p>
        </w:tc>
        <w:tc>
          <w:tcPr>
            <w:tcW w:w="1294" w:type="dxa"/>
            <w:gridSpan w:val="2"/>
            <w:vMerge w:val="continue"/>
            <w:tcBorders>
              <w:top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0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00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052" w:type="dxa"/>
            <w:gridSpan w:val="3"/>
            <w:vMerge w:val="continue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13" w:type="dxa"/>
            <w:gridSpan w:val="2"/>
            <w:vMerge w:val="continue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01" w:hRule="atLeast"/>
        </w:trPr>
        <w:tc>
          <w:tcPr>
            <w:tcW w:w="620" w:type="dxa"/>
            <w:tcBorders>
              <w:top w:val="nil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c)</w:t>
            </w:r>
          </w:p>
        </w:tc>
        <w:tc>
          <w:tcPr>
            <w:tcW w:w="2859" w:type="dxa"/>
            <w:gridSpan w:val="3"/>
            <w:tcBorders>
              <w:top w:val="nil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Obnova  Društvenog doma Mihovljan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39.816,84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>30.000,00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>28.816,69</w:t>
            </w:r>
          </w:p>
        </w:tc>
        <w:tc>
          <w:tcPr>
            <w:tcW w:w="2052" w:type="dxa"/>
            <w:gridSpan w:val="3"/>
            <w:vMerge w:val="restart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(11) Proračun Općine </w:t>
              <w:br/>
              <w:t>= 6.636,14EUR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(52) Min.kulture i medija</w:t>
              <w:br/>
              <w:t xml:space="preserve"> = 33.180,70 EUR 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III. izmjene i dopune: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(9) Proračun Općine = 3.455,44 EUR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(52) Min.kulture i medija</w:t>
            </w:r>
          </w:p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 xml:space="preserve">= </w:t>
            </w:r>
            <w:r>
              <w:rPr>
                <w:bCs/>
                <w:sz w:val="16"/>
                <w:szCs w:val="16"/>
                <w:lang w:eastAsia="en-US"/>
              </w:rPr>
              <w:t>26.544,56</w:t>
            </w:r>
            <w:r>
              <w:rPr>
                <w:sz w:val="16"/>
                <w:szCs w:val="16"/>
              </w:rPr>
              <w:t>EUR</w:t>
            </w:r>
          </w:p>
        </w:tc>
        <w:tc>
          <w:tcPr>
            <w:tcW w:w="913" w:type="dxa"/>
            <w:gridSpan w:val="2"/>
            <w:vMerge w:val="restart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4214.92</w:t>
            </w:r>
          </w:p>
        </w:tc>
        <w:tc>
          <w:tcPr>
            <w:tcW w:w="4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6" w:hRule="atLeast"/>
        </w:trPr>
        <w:tc>
          <w:tcPr>
            <w:tcW w:w="620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2859" w:type="dxa"/>
            <w:gridSpan w:val="3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Troškovnik = 100,00 EUR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Cs/>
                <w:sz w:val="16"/>
                <w:szCs w:val="16"/>
              </w:rPr>
              <w:t>Izvođenje radova = 38.700,00 EUR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Cs/>
                <w:sz w:val="16"/>
                <w:szCs w:val="16"/>
              </w:rPr>
              <w:t>Nadzor = 1.200,00 EUR</w:t>
            </w:r>
          </w:p>
        </w:tc>
        <w:tc>
          <w:tcPr>
            <w:tcW w:w="1294" w:type="dxa"/>
            <w:gridSpan w:val="2"/>
            <w:vMerge w:val="continue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270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300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2052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913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4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6" w:hRule="atLeast"/>
        </w:trPr>
        <w:tc>
          <w:tcPr>
            <w:tcW w:w="620" w:type="dxa"/>
            <w:tcBorders>
              <w:top w:val="nil"/>
              <w:right w:val="nil"/>
            </w:tcBorders>
            <w:shd w:fill="EEEEEE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d)</w:t>
            </w:r>
          </w:p>
        </w:tc>
        <w:tc>
          <w:tcPr>
            <w:tcW w:w="2859" w:type="dxa"/>
            <w:gridSpan w:val="3"/>
            <w:tcBorders>
              <w:top w:val="nil"/>
              <w:right w:val="nil"/>
            </w:tcBorders>
            <w:shd w:fill="EEEEEE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Namještaj za društveni dom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sz w:val="18"/>
                <w:szCs w:val="18"/>
              </w:rPr>
              <w:t>10.000,00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sz w:val="18"/>
                <w:szCs w:val="18"/>
              </w:rPr>
              <w:t>9.997.75</w:t>
            </w:r>
          </w:p>
        </w:tc>
        <w:tc>
          <w:tcPr>
            <w:tcW w:w="2052" w:type="dxa"/>
            <w:gridSpan w:val="3"/>
            <w:vMerge w:val="restart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III. izmjene i dopune: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  <w:t>(11) Proračun Općine=10.000,00 EUR</w:t>
            </w:r>
          </w:p>
        </w:tc>
        <w:tc>
          <w:tcPr>
            <w:tcW w:w="913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4221.22</w:t>
            </w:r>
          </w:p>
        </w:tc>
        <w:tc>
          <w:tcPr>
            <w:tcW w:w="4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6" w:hRule="atLeast"/>
        </w:trPr>
        <w:tc>
          <w:tcPr>
            <w:tcW w:w="620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2859" w:type="dxa"/>
            <w:gridSpan w:val="3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Nabava= 10.000,00 EUR</w:t>
            </w:r>
          </w:p>
        </w:tc>
        <w:tc>
          <w:tcPr>
            <w:tcW w:w="1294" w:type="dxa"/>
            <w:gridSpan w:val="2"/>
            <w:vMerge w:val="continue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270" w:type="dxa"/>
            <w:gridSpan w:val="2"/>
            <w:vMerge w:val="continue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300" w:type="dxa"/>
            <w:gridSpan w:val="2"/>
            <w:vMerge w:val="continue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2052" w:type="dxa"/>
            <w:gridSpan w:val="3"/>
            <w:vMerge w:val="continue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913" w:type="dxa"/>
            <w:gridSpan w:val="2"/>
            <w:vMerge w:val="continue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4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6" w:hRule="atLeast"/>
        </w:trPr>
        <w:tc>
          <w:tcPr>
            <w:tcW w:w="620" w:type="dxa"/>
            <w:tcBorders>
              <w:top w:val="nil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>
              <w:rPr>
                <w:bCs/>
                <w:sz w:val="18"/>
                <w:szCs w:val="18"/>
              </w:rPr>
              <w:t>d)</w:t>
            </w:r>
          </w:p>
        </w:tc>
        <w:tc>
          <w:tcPr>
            <w:tcW w:w="2859" w:type="dxa"/>
            <w:gridSpan w:val="3"/>
            <w:tcBorders>
              <w:top w:val="nil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Zemljište i zgrada- centar</w:t>
            </w:r>
          </w:p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294" w:type="dxa"/>
            <w:gridSpan w:val="2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13.272,28</w:t>
            </w:r>
          </w:p>
        </w:tc>
        <w:tc>
          <w:tcPr>
            <w:tcW w:w="1270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sz w:val="18"/>
                <w:szCs w:val="18"/>
              </w:rPr>
              <w:t>15.000,00</w:t>
            </w:r>
          </w:p>
        </w:tc>
        <w:tc>
          <w:tcPr>
            <w:tcW w:w="1300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sz w:val="18"/>
                <w:szCs w:val="18"/>
              </w:rPr>
              <w:t>15.000,00</w:t>
            </w:r>
          </w:p>
        </w:tc>
        <w:tc>
          <w:tcPr>
            <w:tcW w:w="2052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  <w:t>(11) Proračun općine</w:t>
              <w:br/>
              <w:t>=13.272,28 EUR</w:t>
            </w:r>
          </w:p>
          <w:p>
            <w:pPr>
              <w:pStyle w:val="Normal"/>
              <w:widowControl w:val="false"/>
              <w:rPr>
                <w:bCs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III. izmjene i dopune:</w:t>
            </w:r>
          </w:p>
          <w:p>
            <w:pPr>
              <w:pStyle w:val="Normal"/>
              <w:widowControl w:val="fals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(11) Proračun općine</w:t>
            </w:r>
          </w:p>
          <w:p>
            <w:pPr>
              <w:pStyle w:val="Normal"/>
              <w:widowControl w:val="false"/>
              <w:rPr/>
            </w:pPr>
            <w:r>
              <w:rPr>
                <w:bCs/>
                <w:sz w:val="16"/>
                <w:szCs w:val="16"/>
              </w:rPr>
              <w:t>=15.000,00 EUR</w:t>
            </w:r>
          </w:p>
        </w:tc>
        <w:tc>
          <w:tcPr>
            <w:tcW w:w="913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4111.91</w:t>
            </w:r>
          </w:p>
        </w:tc>
        <w:tc>
          <w:tcPr>
            <w:tcW w:w="4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6" w:hRule="atLeast"/>
        </w:trPr>
        <w:tc>
          <w:tcPr>
            <w:tcW w:w="620" w:type="dxa"/>
            <w:tcBorders>
              <w:top w:val="nil"/>
              <w:right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9" w:type="dxa"/>
            <w:gridSpan w:val="3"/>
            <w:tcBorders>
              <w:top w:val="nil"/>
              <w:right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Cs/>
                <w:sz w:val="16"/>
                <w:szCs w:val="16"/>
              </w:rPr>
              <w:t>Zemljište = 0,00 EUR</w:t>
            </w:r>
          </w:p>
        </w:tc>
        <w:tc>
          <w:tcPr>
            <w:tcW w:w="1294" w:type="dxa"/>
            <w:gridSpan w:val="2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0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00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52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13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6" w:hRule="atLeast"/>
        </w:trPr>
        <w:tc>
          <w:tcPr>
            <w:tcW w:w="620" w:type="dxa"/>
            <w:tcBorders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>
              <w:rPr>
                <w:bCs/>
                <w:sz w:val="18"/>
                <w:szCs w:val="18"/>
              </w:rPr>
              <w:t>e)</w:t>
            </w:r>
          </w:p>
        </w:tc>
        <w:tc>
          <w:tcPr>
            <w:tcW w:w="2859" w:type="dxa"/>
            <w:gridSpan w:val="3"/>
            <w:tcBorders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Projekti-izrada projekata i geodezija</w:t>
            </w:r>
          </w:p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294" w:type="dxa"/>
            <w:gridSpan w:val="2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9.290,60</w:t>
            </w:r>
          </w:p>
        </w:tc>
        <w:tc>
          <w:tcPr>
            <w:tcW w:w="1270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sz w:val="18"/>
                <w:szCs w:val="18"/>
              </w:rPr>
              <w:t>15.000,00</w:t>
            </w:r>
          </w:p>
        </w:tc>
        <w:tc>
          <w:tcPr>
            <w:tcW w:w="1300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sz w:val="18"/>
                <w:szCs w:val="18"/>
              </w:rPr>
              <w:t>11.641,87</w:t>
            </w:r>
          </w:p>
        </w:tc>
        <w:tc>
          <w:tcPr>
            <w:tcW w:w="2052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  <w:t>(11)Proračun općine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  <w:t>=9.290,60 EUR</w:t>
            </w:r>
          </w:p>
          <w:p>
            <w:pPr>
              <w:pStyle w:val="Normal"/>
              <w:widowControl w:val="false"/>
              <w:rPr>
                <w:bCs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III. izmjene i dopune:</w:t>
            </w:r>
          </w:p>
          <w:p>
            <w:pPr>
              <w:pStyle w:val="Normal"/>
              <w:widowControl w:val="false"/>
              <w:rPr/>
            </w:pPr>
            <w:r>
              <w:rPr>
                <w:bCs/>
                <w:sz w:val="16"/>
                <w:szCs w:val="16"/>
              </w:rPr>
              <w:t>(11) Proračun općine</w:t>
              <w:br/>
              <w:t>=15.000,00 EUR</w:t>
            </w:r>
          </w:p>
        </w:tc>
        <w:tc>
          <w:tcPr>
            <w:tcW w:w="913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4126.10</w:t>
            </w:r>
          </w:p>
        </w:tc>
        <w:tc>
          <w:tcPr>
            <w:tcW w:w="4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6" w:hRule="atLeast"/>
        </w:trPr>
        <w:tc>
          <w:tcPr>
            <w:tcW w:w="620" w:type="dxa"/>
            <w:tcBorders>
              <w:top w:val="nil"/>
              <w:right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9" w:type="dxa"/>
            <w:gridSpan w:val="3"/>
            <w:tcBorders>
              <w:top w:val="nil"/>
              <w:right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Cs/>
                <w:sz w:val="16"/>
                <w:szCs w:val="16"/>
              </w:rPr>
              <w:t>Projekt = 15.000,00 EUR</w:t>
            </w:r>
          </w:p>
        </w:tc>
        <w:tc>
          <w:tcPr>
            <w:tcW w:w="1294" w:type="dxa"/>
            <w:gridSpan w:val="2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0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00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52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13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6" w:hRule="atLeast"/>
        </w:trPr>
        <w:tc>
          <w:tcPr>
            <w:tcW w:w="620" w:type="dxa"/>
            <w:tcBorders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   </w:t>
            </w:r>
            <w:r>
              <w:rPr>
                <w:bCs/>
                <w:sz w:val="18"/>
                <w:szCs w:val="18"/>
              </w:rPr>
              <w:t>f)</w:t>
            </w:r>
          </w:p>
        </w:tc>
        <w:tc>
          <w:tcPr>
            <w:tcW w:w="2859" w:type="dxa"/>
            <w:gridSpan w:val="3"/>
            <w:tcBorders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Cs/>
                <w:sz w:val="18"/>
                <w:szCs w:val="18"/>
              </w:rPr>
              <w:t xml:space="preserve">Idejno rješenje- </w:t>
            </w:r>
            <w:r>
              <w:rPr>
                <w:rFonts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Rekonstrukcija postojeće građevine i privođenje namjeni multifunkcionalnog kulturnog i prezentacijskog centra u Mihovljanu</w:t>
            </w:r>
          </w:p>
        </w:tc>
        <w:tc>
          <w:tcPr>
            <w:tcW w:w="1294" w:type="dxa"/>
            <w:gridSpan w:val="2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5.308,91 </w:t>
            </w:r>
          </w:p>
        </w:tc>
        <w:tc>
          <w:tcPr>
            <w:tcW w:w="1270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5.308,91 </w:t>
            </w:r>
          </w:p>
        </w:tc>
        <w:tc>
          <w:tcPr>
            <w:tcW w:w="1300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sz w:val="18"/>
                <w:szCs w:val="18"/>
              </w:rPr>
              <w:t>5.308,91</w:t>
            </w:r>
          </w:p>
        </w:tc>
        <w:tc>
          <w:tcPr>
            <w:tcW w:w="2052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  <w:t>(11) Proračun općine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  <w:t>=5.308,91 EUR</w:t>
            </w:r>
          </w:p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  <w:u w:val="single"/>
              </w:rPr>
              <w:t>III. izmjene i dopune:</w:t>
            </w:r>
            <w:r>
              <w:rPr>
                <w:bCs/>
                <w:sz w:val="16"/>
                <w:szCs w:val="16"/>
              </w:rPr>
              <w:br/>
            </w:r>
            <w:bookmarkStart w:id="2" w:name="__DdeLink__1505_4187476492"/>
            <w:r>
              <w:rPr>
                <w:bCs/>
                <w:sz w:val="16"/>
                <w:szCs w:val="16"/>
              </w:rPr>
              <w:t>(11) Proračun općine</w:t>
            </w:r>
            <w:bookmarkEnd w:id="2"/>
            <w:r>
              <w:rPr>
                <w:bCs/>
                <w:sz w:val="16"/>
                <w:szCs w:val="16"/>
              </w:rPr>
              <w:t xml:space="preserve"> =5.308,91 EUR</w:t>
            </w:r>
          </w:p>
        </w:tc>
        <w:tc>
          <w:tcPr>
            <w:tcW w:w="913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4126.11</w:t>
            </w:r>
          </w:p>
        </w:tc>
        <w:tc>
          <w:tcPr>
            <w:tcW w:w="4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6" w:hRule="atLeast"/>
        </w:trPr>
        <w:tc>
          <w:tcPr>
            <w:tcW w:w="620" w:type="dxa"/>
            <w:tcBorders>
              <w:top w:val="nil"/>
              <w:right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9" w:type="dxa"/>
            <w:gridSpan w:val="3"/>
            <w:tcBorders>
              <w:top w:val="nil"/>
              <w:right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Cs/>
                <w:sz w:val="16"/>
                <w:szCs w:val="16"/>
              </w:rPr>
              <w:t>Idejno rješenje = 5.308,91 EUR</w:t>
            </w:r>
          </w:p>
        </w:tc>
        <w:tc>
          <w:tcPr>
            <w:tcW w:w="1294" w:type="dxa"/>
            <w:gridSpan w:val="2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0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00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52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13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6" w:hRule="atLeast"/>
        </w:trPr>
        <w:tc>
          <w:tcPr>
            <w:tcW w:w="620" w:type="dxa"/>
            <w:tcBorders>
              <w:top w:val="nil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>g)</w:t>
            </w:r>
          </w:p>
        </w:tc>
        <w:tc>
          <w:tcPr>
            <w:tcW w:w="2859" w:type="dxa"/>
            <w:gridSpan w:val="3"/>
            <w:tcBorders>
              <w:top w:val="nil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Glavni projekt i troškovnik za </w:t>
            </w:r>
            <w:r>
              <w:rPr>
                <w:rFonts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Rekonstrukcija postojeće građevine i privođenje namjeni multifunkcionalnog kulturnog i prezentacijskog centra u Mihovljanu</w:t>
            </w:r>
          </w:p>
        </w:tc>
        <w:tc>
          <w:tcPr>
            <w:tcW w:w="1294" w:type="dxa"/>
            <w:gridSpan w:val="2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25.880,95 </w:t>
            </w:r>
          </w:p>
        </w:tc>
        <w:tc>
          <w:tcPr>
            <w:tcW w:w="1270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25.880,95 </w:t>
            </w:r>
          </w:p>
        </w:tc>
        <w:tc>
          <w:tcPr>
            <w:tcW w:w="1300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sz w:val="18"/>
                <w:szCs w:val="18"/>
              </w:rPr>
              <w:t>25.625,00</w:t>
            </w:r>
          </w:p>
        </w:tc>
        <w:tc>
          <w:tcPr>
            <w:tcW w:w="2052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>(11) Proračun općine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>=25.880,95 EUR</w:t>
            </w:r>
          </w:p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  <w:u w:val="single"/>
              </w:rPr>
              <w:t>III. izmjene i dopune:</w:t>
            </w:r>
            <w:r>
              <w:rPr>
                <w:bCs/>
                <w:sz w:val="18"/>
                <w:szCs w:val="18"/>
              </w:rPr>
              <w:br/>
            </w:r>
            <w:r>
              <w:rPr>
                <w:bCs/>
                <w:sz w:val="16"/>
                <w:szCs w:val="16"/>
              </w:rPr>
              <w:t>(11) Proračun općine</w:t>
            </w:r>
            <w:r>
              <w:rPr>
                <w:bCs/>
                <w:sz w:val="18"/>
                <w:szCs w:val="18"/>
              </w:rPr>
              <w:t xml:space="preserve"> =25.880,95 EUR</w:t>
            </w:r>
          </w:p>
        </w:tc>
        <w:tc>
          <w:tcPr>
            <w:tcW w:w="913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4126.12</w:t>
            </w:r>
          </w:p>
        </w:tc>
        <w:tc>
          <w:tcPr>
            <w:tcW w:w="4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6" w:hRule="atLeast"/>
        </w:trPr>
        <w:tc>
          <w:tcPr>
            <w:tcW w:w="620" w:type="dxa"/>
            <w:tcBorders>
              <w:top w:val="nil"/>
              <w:right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9" w:type="dxa"/>
            <w:gridSpan w:val="3"/>
            <w:tcBorders>
              <w:top w:val="nil"/>
              <w:right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Cs/>
                <w:sz w:val="16"/>
                <w:szCs w:val="16"/>
              </w:rPr>
              <w:t>Projekt = 25.880,95 EUR</w:t>
            </w:r>
          </w:p>
        </w:tc>
        <w:tc>
          <w:tcPr>
            <w:tcW w:w="1294" w:type="dxa"/>
            <w:gridSpan w:val="2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0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00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52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13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6" w:hRule="atLeast"/>
        </w:trPr>
        <w:tc>
          <w:tcPr>
            <w:tcW w:w="620" w:type="dxa"/>
            <w:tcBorders>
              <w:top w:val="nil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h)</w:t>
            </w:r>
          </w:p>
        </w:tc>
        <w:tc>
          <w:tcPr>
            <w:tcW w:w="2859" w:type="dxa"/>
            <w:gridSpan w:val="3"/>
            <w:tcBorders>
              <w:top w:val="nil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Projekt za parking za </w:t>
            </w:r>
            <w:r>
              <w:rPr>
                <w:rFonts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Rekonstrukcija postojeće građevine i privođenje namjeni multifunkcionalnog kulturnog i prezentacijskog centra u Mihovljanu</w:t>
            </w:r>
          </w:p>
        </w:tc>
        <w:tc>
          <w:tcPr>
            <w:tcW w:w="1294" w:type="dxa"/>
            <w:gridSpan w:val="2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9.290,60 </w:t>
            </w:r>
          </w:p>
        </w:tc>
        <w:tc>
          <w:tcPr>
            <w:tcW w:w="1270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9.290,60 </w:t>
            </w:r>
          </w:p>
        </w:tc>
        <w:tc>
          <w:tcPr>
            <w:tcW w:w="1300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2052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u w:val="single"/>
              </w:rPr>
              <w:t>Izvorni plan:</w:t>
            </w:r>
          </w:p>
          <w:p>
            <w:pPr>
              <w:pStyle w:val="Normal"/>
              <w:widowControl w:val="false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(11) Proračun općine</w:t>
            </w:r>
          </w:p>
          <w:p>
            <w:pPr>
              <w:pStyle w:val="Normal"/>
              <w:widowControl w:val="false"/>
              <w:rPr>
                <w:sz w:val="16"/>
                <w:szCs w:val="16"/>
                <w:u w:val="single"/>
              </w:rPr>
            </w:pPr>
            <w:r>
              <w:rPr>
                <w:bCs/>
                <w:sz w:val="18"/>
                <w:szCs w:val="18"/>
              </w:rPr>
              <w:t>=9.290,60 EUR</w:t>
            </w:r>
          </w:p>
          <w:p>
            <w:pPr>
              <w:pStyle w:val="Normal"/>
              <w:widowControl w:val="false"/>
              <w:rPr>
                <w:bCs/>
                <w:sz w:val="16"/>
                <w:szCs w:val="16"/>
                <w:u w:val="single"/>
              </w:rPr>
            </w:pPr>
            <w:r>
              <w:rPr>
                <w:sz w:val="18"/>
                <w:szCs w:val="18"/>
                <w:u w:val="single"/>
              </w:rPr>
              <w:t>III. izmjene i dopune:</w:t>
            </w:r>
          </w:p>
          <w:p>
            <w:pPr>
              <w:pStyle w:val="Normal"/>
              <w:widowControl w:val="false"/>
              <w:rPr/>
            </w:pPr>
            <w:r>
              <w:rPr>
                <w:bCs/>
                <w:sz w:val="16"/>
                <w:szCs w:val="16"/>
              </w:rPr>
              <w:t xml:space="preserve">(11) Proračun općine </w:t>
            </w:r>
            <w:r>
              <w:rPr>
                <w:bCs/>
                <w:sz w:val="18"/>
                <w:szCs w:val="18"/>
              </w:rPr>
              <w:t>=9.290,60 EUR</w:t>
            </w:r>
          </w:p>
        </w:tc>
        <w:tc>
          <w:tcPr>
            <w:tcW w:w="913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4126.13</w:t>
            </w:r>
          </w:p>
        </w:tc>
        <w:tc>
          <w:tcPr>
            <w:tcW w:w="4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6" w:hRule="atLeast"/>
        </w:trPr>
        <w:tc>
          <w:tcPr>
            <w:tcW w:w="620" w:type="dxa"/>
            <w:tcBorders>
              <w:top w:val="nil"/>
              <w:right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9" w:type="dxa"/>
            <w:gridSpan w:val="3"/>
            <w:tcBorders>
              <w:top w:val="nil"/>
              <w:right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Cs/>
                <w:sz w:val="16"/>
                <w:szCs w:val="16"/>
              </w:rPr>
              <w:t>Projekt =9.290,60 EUR</w:t>
            </w:r>
          </w:p>
        </w:tc>
        <w:tc>
          <w:tcPr>
            <w:tcW w:w="1294" w:type="dxa"/>
            <w:gridSpan w:val="2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0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00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52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13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6" w:hRule="atLeast"/>
        </w:trPr>
        <w:tc>
          <w:tcPr>
            <w:tcW w:w="620" w:type="dxa"/>
            <w:tcBorders>
              <w:top w:val="nil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i)</w:t>
            </w:r>
          </w:p>
        </w:tc>
        <w:tc>
          <w:tcPr>
            <w:tcW w:w="2859" w:type="dxa"/>
            <w:gridSpan w:val="3"/>
            <w:tcBorders>
              <w:top w:val="nil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Cs/>
                <w:sz w:val="18"/>
                <w:szCs w:val="18"/>
              </w:rPr>
              <w:t>Geodezija za Multifunkcionalni kulturni i prezentacijski centar u Mihovljanu</w:t>
            </w:r>
          </w:p>
        </w:tc>
        <w:tc>
          <w:tcPr>
            <w:tcW w:w="1294" w:type="dxa"/>
            <w:gridSpan w:val="2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5.972,53</w:t>
            </w:r>
          </w:p>
        </w:tc>
        <w:tc>
          <w:tcPr>
            <w:tcW w:w="1270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5.972,53</w:t>
            </w:r>
          </w:p>
        </w:tc>
        <w:tc>
          <w:tcPr>
            <w:tcW w:w="1300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2052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>(11) Proračun općine</w:t>
              <w:br/>
              <w:t>=5.972,53 EUR</w:t>
            </w:r>
          </w:p>
          <w:p>
            <w:pPr>
              <w:pStyle w:val="Normal"/>
              <w:widowControl w:val="false"/>
              <w:rPr>
                <w:bCs/>
                <w:sz w:val="16"/>
                <w:szCs w:val="16"/>
                <w:u w:val="single"/>
              </w:rPr>
            </w:pPr>
            <w:r>
              <w:rPr>
                <w:sz w:val="18"/>
                <w:szCs w:val="18"/>
                <w:u w:val="single"/>
              </w:rPr>
              <w:t>III. izmjene i dopune:</w:t>
            </w:r>
          </w:p>
          <w:p>
            <w:pPr>
              <w:pStyle w:val="Normal"/>
              <w:widowControl w:val="false"/>
              <w:rPr/>
            </w:pPr>
            <w:r>
              <w:rPr>
                <w:bCs/>
                <w:sz w:val="16"/>
                <w:szCs w:val="16"/>
              </w:rPr>
              <w:t>(11) Proračun općine</w:t>
            </w:r>
          </w:p>
          <w:p>
            <w:pPr>
              <w:pStyle w:val="Normal"/>
              <w:widowControl w:val="false"/>
              <w:rPr/>
            </w:pPr>
            <w:r>
              <w:rPr>
                <w:bCs/>
                <w:sz w:val="18"/>
                <w:szCs w:val="18"/>
              </w:rPr>
              <w:t>=5.972,53 EUR</w:t>
            </w:r>
          </w:p>
        </w:tc>
        <w:tc>
          <w:tcPr>
            <w:tcW w:w="913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4126.14</w:t>
            </w:r>
          </w:p>
        </w:tc>
        <w:tc>
          <w:tcPr>
            <w:tcW w:w="4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6" w:hRule="atLeast"/>
        </w:trPr>
        <w:tc>
          <w:tcPr>
            <w:tcW w:w="620" w:type="dxa"/>
            <w:tcBorders>
              <w:top w:val="nil"/>
              <w:right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9" w:type="dxa"/>
            <w:gridSpan w:val="3"/>
            <w:tcBorders>
              <w:top w:val="nil"/>
              <w:right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Cs/>
                <w:sz w:val="16"/>
                <w:szCs w:val="16"/>
              </w:rPr>
              <w:t>Geodezija = 5.972,53 EUR</w:t>
            </w:r>
          </w:p>
        </w:tc>
        <w:tc>
          <w:tcPr>
            <w:tcW w:w="1294" w:type="dxa"/>
            <w:gridSpan w:val="2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0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00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52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13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6" w:hRule="atLeast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9" w:type="dxa"/>
            <w:gridSpan w:val="3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6" w:hRule="atLeast"/>
        </w:trPr>
        <w:tc>
          <w:tcPr>
            <w:tcW w:w="620" w:type="dxa"/>
            <w:tcBorders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j)</w:t>
            </w:r>
          </w:p>
        </w:tc>
        <w:tc>
          <w:tcPr>
            <w:tcW w:w="2859" w:type="dxa"/>
            <w:gridSpan w:val="3"/>
            <w:tcBorders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Projekt-širokopojasni internet</w:t>
            </w:r>
          </w:p>
        </w:tc>
        <w:tc>
          <w:tcPr>
            <w:tcW w:w="1294" w:type="dxa"/>
            <w:gridSpan w:val="2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2.654,46 </w:t>
            </w:r>
          </w:p>
        </w:tc>
        <w:tc>
          <w:tcPr>
            <w:tcW w:w="1270" w:type="dxa"/>
            <w:gridSpan w:val="2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2.654,46 </w:t>
            </w:r>
          </w:p>
        </w:tc>
        <w:tc>
          <w:tcPr>
            <w:tcW w:w="1300" w:type="dxa"/>
            <w:gridSpan w:val="2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2052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  <w:t>(11) Proračun općine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  <w:t>=2.654,46 EUR</w:t>
            </w:r>
          </w:p>
          <w:p>
            <w:pPr>
              <w:pStyle w:val="Normal"/>
              <w:widowControl w:val="false"/>
              <w:rPr>
                <w:bCs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III. izmjene i dopune:</w:t>
            </w:r>
          </w:p>
          <w:p>
            <w:pPr>
              <w:pStyle w:val="Normal"/>
              <w:widowControl w:val="fals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(11) Proračun općine</w:t>
            </w:r>
          </w:p>
          <w:p>
            <w:pPr>
              <w:pStyle w:val="Normal"/>
              <w:widowControl w:val="false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= 2.654,46 EUR</w:t>
            </w:r>
          </w:p>
        </w:tc>
        <w:tc>
          <w:tcPr>
            <w:tcW w:w="913" w:type="dxa"/>
            <w:gridSpan w:val="2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4126.17</w:t>
            </w:r>
          </w:p>
        </w:tc>
        <w:tc>
          <w:tcPr>
            <w:tcW w:w="42" w:type="dxa"/>
            <w:gridSpan w:val="4"/>
            <w:tcBorders>
              <w:bottom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6" w:hRule="atLeast"/>
        </w:trPr>
        <w:tc>
          <w:tcPr>
            <w:tcW w:w="620" w:type="dxa"/>
            <w:tcBorders>
              <w:top w:val="nil"/>
              <w:right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9" w:type="dxa"/>
            <w:gridSpan w:val="3"/>
            <w:tcBorders>
              <w:top w:val="nil"/>
              <w:right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Cs/>
                <w:sz w:val="16"/>
                <w:szCs w:val="16"/>
              </w:rPr>
              <w:t>Projekt = 2.654,46 EUR</w:t>
            </w:r>
          </w:p>
        </w:tc>
        <w:tc>
          <w:tcPr>
            <w:tcW w:w="1294" w:type="dxa"/>
            <w:gridSpan w:val="2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0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00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52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13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" w:type="dxa"/>
            <w:gridSpan w:val="4"/>
            <w:tcBorders>
              <w:top w:val="nil"/>
              <w:left w:val="nil"/>
              <w:bottom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6" w:hRule="atLeast"/>
        </w:trPr>
        <w:tc>
          <w:tcPr>
            <w:tcW w:w="620" w:type="dxa"/>
            <w:tcBorders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l)</w:t>
            </w:r>
          </w:p>
        </w:tc>
        <w:tc>
          <w:tcPr>
            <w:tcW w:w="2859" w:type="dxa"/>
            <w:gridSpan w:val="3"/>
            <w:tcBorders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Izdaci za geodetske usluge (izmjere i elaborati za ceste)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94" w:type="dxa"/>
            <w:gridSpan w:val="2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0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3.000,00</w:t>
            </w:r>
          </w:p>
        </w:tc>
        <w:tc>
          <w:tcPr>
            <w:tcW w:w="1300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2052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0,00</w:t>
            </w:r>
          </w:p>
          <w:p>
            <w:pPr>
              <w:pStyle w:val="Normal"/>
              <w:widowControl w:val="false"/>
              <w:rPr>
                <w:bCs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III. izmjene i dopune:</w:t>
            </w:r>
          </w:p>
          <w:p>
            <w:pPr>
              <w:pStyle w:val="Normal"/>
              <w:widowControl w:val="fals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(11) Proračun općine</w:t>
            </w:r>
          </w:p>
          <w:p>
            <w:pPr>
              <w:pStyle w:val="Normal"/>
              <w:widowControl w:val="fals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= 3.000,00 EUR</w:t>
            </w:r>
          </w:p>
        </w:tc>
        <w:tc>
          <w:tcPr>
            <w:tcW w:w="913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4126.18</w:t>
            </w:r>
          </w:p>
        </w:tc>
        <w:tc>
          <w:tcPr>
            <w:tcW w:w="42" w:type="dxa"/>
            <w:gridSpan w:val="4"/>
            <w:tcBorders>
              <w:top w:val="nil"/>
              <w:left w:val="nil"/>
              <w:bottom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6" w:hRule="atLeast"/>
        </w:trPr>
        <w:tc>
          <w:tcPr>
            <w:tcW w:w="620" w:type="dxa"/>
            <w:tcBorders>
              <w:top w:val="nil"/>
              <w:right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9" w:type="dxa"/>
            <w:gridSpan w:val="3"/>
            <w:tcBorders>
              <w:top w:val="nil"/>
              <w:right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Usluge i elaborati 3.000,00 EUR</w:t>
            </w:r>
          </w:p>
        </w:tc>
        <w:tc>
          <w:tcPr>
            <w:tcW w:w="1294" w:type="dxa"/>
            <w:gridSpan w:val="2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0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00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52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13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47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2.1.</w:t>
            </w:r>
          </w:p>
        </w:tc>
        <w:tc>
          <w:tcPr>
            <w:tcW w:w="9695" w:type="dxa"/>
            <w:gridSpan w:val="15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GROBLJA</w:t>
            </w:r>
          </w:p>
        </w:tc>
        <w:tc>
          <w:tcPr>
            <w:tcW w:w="8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47" w:type="dxa"/>
            <w:gridSpan w:val="2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a)</w:t>
            </w:r>
          </w:p>
        </w:tc>
        <w:tc>
          <w:tcPr>
            <w:tcW w:w="283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Mrtvačnica Mihovljan – uređenje prilaza</w:t>
            </w:r>
          </w:p>
        </w:tc>
        <w:tc>
          <w:tcPr>
            <w:tcW w:w="1294" w:type="dxa"/>
            <w:gridSpan w:val="2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6.636,14</w:t>
            </w:r>
          </w:p>
        </w:tc>
        <w:tc>
          <w:tcPr>
            <w:tcW w:w="1269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52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</w:t>
              <w:br/>
              <w:t xml:space="preserve">= 6.636,14 EUR 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III. izmjene i dopune: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</w:t>
              <w:br/>
              <w:t xml:space="preserve">= 0,00 EUR 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14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4214.94</w:t>
            </w:r>
          </w:p>
        </w:tc>
        <w:tc>
          <w:tcPr>
            <w:tcW w:w="43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4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83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6"/>
                <w:szCs w:val="16"/>
              </w:rPr>
              <w:t>Izvođenje radova = 0,00 EUR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16"/>
                <w:szCs w:val="16"/>
              </w:rPr>
              <w:t>Stručni nadzor = 0,00 EUR</w:t>
            </w:r>
          </w:p>
        </w:tc>
        <w:tc>
          <w:tcPr>
            <w:tcW w:w="1294" w:type="dxa"/>
            <w:gridSpan w:val="2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9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00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052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14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47" w:type="dxa"/>
            <w:gridSpan w:val="2"/>
            <w:tcBorders>
              <w:top w:val="nil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b)</w:t>
            </w:r>
          </w:p>
        </w:tc>
        <w:tc>
          <w:tcPr>
            <w:tcW w:w="2831" w:type="dxa"/>
            <w:tcBorders>
              <w:top w:val="nil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Kapelica na Mjesnom groblju Mihovljan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19.908,42</w:t>
            </w:r>
          </w:p>
        </w:tc>
        <w:tc>
          <w:tcPr>
            <w:tcW w:w="1269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52" w:type="dxa"/>
            <w:gridSpan w:val="3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52 Min.kulture i medija</w:t>
              <w:br/>
              <w:t>=13.272,28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</w:t>
              <w:br/>
              <w:t xml:space="preserve">= 6.636,14EUR 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III. izmjene i dopune: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(52) Min.kulture i medija = 0,00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14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4214.98</w:t>
            </w:r>
          </w:p>
        </w:tc>
        <w:tc>
          <w:tcPr>
            <w:tcW w:w="43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779" w:hRule="atLeast"/>
        </w:trPr>
        <w:tc>
          <w:tcPr>
            <w:tcW w:w="647" w:type="dxa"/>
            <w:gridSpan w:val="2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831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6"/>
                <w:szCs w:val="16"/>
              </w:rPr>
              <w:t>Troškovnik = 0,00 EUR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16"/>
                <w:szCs w:val="16"/>
              </w:rPr>
              <w:t xml:space="preserve">Izvođenje radova = 0,00 EUR 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16"/>
                <w:szCs w:val="16"/>
              </w:rPr>
              <w:t>Nadzor = 0,00 EUR</w:t>
            </w:r>
          </w:p>
        </w:tc>
        <w:tc>
          <w:tcPr>
            <w:tcW w:w="1294" w:type="dxa"/>
            <w:gridSpan w:val="2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9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00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052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14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47" w:type="dxa"/>
            <w:gridSpan w:val="2"/>
            <w:tcBorders>
              <w:top w:val="nil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c)</w:t>
            </w:r>
          </w:p>
        </w:tc>
        <w:tc>
          <w:tcPr>
            <w:tcW w:w="2831" w:type="dxa"/>
            <w:tcBorders>
              <w:top w:val="nil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Oprema za mrtvačnicu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3.981,68</w:t>
            </w:r>
          </w:p>
        </w:tc>
        <w:tc>
          <w:tcPr>
            <w:tcW w:w="1269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5.600,00</w:t>
            </w:r>
          </w:p>
        </w:tc>
        <w:tc>
          <w:tcPr>
            <w:tcW w:w="2052" w:type="dxa"/>
            <w:gridSpan w:val="3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</w:t>
              <w:br/>
              <w:t>= 3.981,68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III. izmjene i dopune: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</w:t>
              <w:br/>
              <w:t>= 6.000,00 EUR</w:t>
            </w:r>
          </w:p>
        </w:tc>
        <w:tc>
          <w:tcPr>
            <w:tcW w:w="914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4221.93</w:t>
            </w:r>
          </w:p>
        </w:tc>
        <w:tc>
          <w:tcPr>
            <w:tcW w:w="43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47" w:type="dxa"/>
            <w:gridSpan w:val="2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831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i postava  = 6.000,00</w:t>
            </w:r>
          </w:p>
        </w:tc>
        <w:tc>
          <w:tcPr>
            <w:tcW w:w="1294" w:type="dxa"/>
            <w:gridSpan w:val="2"/>
            <w:vMerge w:val="continue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9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00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052" w:type="dxa"/>
            <w:gridSpan w:val="3"/>
            <w:vMerge w:val="continue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14" w:type="dxa"/>
            <w:gridSpan w:val="2"/>
            <w:vMerge w:val="continue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47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3.1.</w:t>
            </w:r>
          </w:p>
        </w:tc>
        <w:tc>
          <w:tcPr>
            <w:tcW w:w="9695" w:type="dxa"/>
            <w:gridSpan w:val="15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JAVNE ZELENE POVRŠINE</w:t>
            </w:r>
          </w:p>
        </w:tc>
        <w:tc>
          <w:tcPr>
            <w:tcW w:w="8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47" w:type="dxa"/>
            <w:gridSpan w:val="2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a)</w:t>
            </w:r>
          </w:p>
        </w:tc>
        <w:tc>
          <w:tcPr>
            <w:tcW w:w="283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Izgradnja Parka hrvatskih branitelja u Mihovljanu </w:t>
            </w:r>
          </w:p>
        </w:tc>
        <w:tc>
          <w:tcPr>
            <w:tcW w:w="1294" w:type="dxa"/>
            <w:gridSpan w:val="2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39.816,84</w:t>
            </w:r>
          </w:p>
        </w:tc>
        <w:tc>
          <w:tcPr>
            <w:tcW w:w="1269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1300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052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  <w:u w:val="single"/>
              </w:rPr>
              <w:t>III. izmjene i dopune: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(51) LAG =32.917,22 EUR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(11 Proračun općine </w:t>
              <w:br/>
              <w:t xml:space="preserve">=5.000,00EUR </w:t>
            </w:r>
          </w:p>
        </w:tc>
        <w:tc>
          <w:tcPr>
            <w:tcW w:w="957" w:type="dxa"/>
            <w:gridSpan w:val="7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4214.62</w:t>
            </w:r>
          </w:p>
        </w:tc>
      </w:tr>
      <w:tr>
        <w:trPr>
          <w:trHeight w:val="506" w:hRule="atLeast"/>
        </w:trPr>
        <w:tc>
          <w:tcPr>
            <w:tcW w:w="647" w:type="dxa"/>
            <w:gridSpan w:val="2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831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6"/>
                <w:szCs w:val="16"/>
              </w:rPr>
              <w:t>Projekt = 10.000,00 EUR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16"/>
                <w:szCs w:val="16"/>
              </w:rPr>
              <w:t>Izvođenje radova = 0,00 EUR</w:t>
            </w:r>
          </w:p>
          <w:p>
            <w:pPr>
              <w:pStyle w:val="Normal"/>
              <w:rPr/>
            </w:pPr>
            <w:r>
              <w:rPr>
                <w:sz w:val="16"/>
                <w:szCs w:val="16"/>
              </w:rPr>
              <w:t>Nadzor = 0,00 EUR</w:t>
            </w:r>
          </w:p>
        </w:tc>
        <w:tc>
          <w:tcPr>
            <w:tcW w:w="1294" w:type="dxa"/>
            <w:gridSpan w:val="2"/>
            <w:vMerge w:val="continue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9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00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052" w:type="dxa"/>
            <w:gridSpan w:val="3"/>
            <w:vMerge w:val="continue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57" w:type="dxa"/>
            <w:gridSpan w:val="7"/>
            <w:vMerge w:val="continue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08" w:hRule="atLeast"/>
        </w:trPr>
        <w:tc>
          <w:tcPr>
            <w:tcW w:w="647" w:type="dxa"/>
            <w:gridSpan w:val="2"/>
            <w:tcBorders>
              <w:top w:val="nil"/>
            </w:tcBorders>
            <w:shd w:color="auto" w:fill="EEEEEE" w:val="clear"/>
            <w:vAlign w:val="cente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b)</w:t>
            </w:r>
          </w:p>
        </w:tc>
        <w:tc>
          <w:tcPr>
            <w:tcW w:w="2831" w:type="dxa"/>
            <w:tcBorders>
              <w:top w:val="nil"/>
            </w:tcBorders>
            <w:shd w:color="auto" w:fill="EEEEEE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Nogometno igralište u Mihovljanu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26.544,56</w:t>
            </w:r>
          </w:p>
        </w:tc>
        <w:tc>
          <w:tcPr>
            <w:tcW w:w="1269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52" w:type="dxa"/>
            <w:gridSpan w:val="3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(52) MINTS=13.272,28 EUR 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</w:t>
              <w:br/>
              <w:t>=13.272,28EUR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III. izmjene i dopune:</w:t>
            </w:r>
          </w:p>
          <w:p>
            <w:pPr>
              <w:pStyle w:val="NoSpacing"/>
              <w:widowControl w:val="false"/>
              <w:jc w:val="both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(52) MINTS =0,00 EUR 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(11) Proračun Općine</w:t>
              <w:br/>
              <w:t>=0,00 EUR</w:t>
            </w:r>
          </w:p>
        </w:tc>
        <w:tc>
          <w:tcPr>
            <w:tcW w:w="957" w:type="dxa"/>
            <w:gridSpan w:val="7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4214.97</w:t>
            </w:r>
          </w:p>
        </w:tc>
      </w:tr>
      <w:tr>
        <w:trPr>
          <w:trHeight w:val="779" w:hRule="atLeast"/>
        </w:trPr>
        <w:tc>
          <w:tcPr>
            <w:tcW w:w="647" w:type="dxa"/>
            <w:gridSpan w:val="2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</w:r>
          </w:p>
        </w:tc>
        <w:tc>
          <w:tcPr>
            <w:tcW w:w="2831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Troškovnik = 0,00 EUR</w:t>
            </w:r>
          </w:p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 xml:space="preserve">Izvođenje radova = 0,00 EUR </w:t>
            </w:r>
          </w:p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Nadzor = 0,00 EUR</w:t>
            </w:r>
          </w:p>
        </w:tc>
        <w:tc>
          <w:tcPr>
            <w:tcW w:w="1294" w:type="dxa"/>
            <w:gridSpan w:val="2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9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00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052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57" w:type="dxa"/>
            <w:gridSpan w:val="7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93" w:hRule="atLeast"/>
        </w:trPr>
        <w:tc>
          <w:tcPr>
            <w:tcW w:w="647" w:type="dxa"/>
            <w:gridSpan w:val="2"/>
            <w:tcBorders>
              <w:top w:val="nil"/>
            </w:tcBorders>
            <w:shd w:color="auto" w:fill="EEEEEE" w:val="clear"/>
            <w:vAlign w:val="cente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c)</w:t>
            </w:r>
          </w:p>
        </w:tc>
        <w:tc>
          <w:tcPr>
            <w:tcW w:w="2831" w:type="dxa"/>
            <w:tcBorders>
              <w:top w:val="nil"/>
            </w:tcBorders>
            <w:shd w:color="auto" w:fill="EEEEEE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Dječje igralište sa igralima i spravama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5.308,91</w:t>
            </w:r>
          </w:p>
        </w:tc>
        <w:tc>
          <w:tcPr>
            <w:tcW w:w="1269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52" w:type="dxa"/>
            <w:gridSpan w:val="3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III. izmjene i dopune: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(52) MRMS =0,00 EUR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957" w:type="dxa"/>
            <w:gridSpan w:val="7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4214.99</w:t>
            </w:r>
          </w:p>
        </w:tc>
      </w:tr>
      <w:tr>
        <w:trPr>
          <w:trHeight w:val="506" w:hRule="atLeast"/>
        </w:trPr>
        <w:tc>
          <w:tcPr>
            <w:tcW w:w="64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83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6"/>
                <w:szCs w:val="16"/>
              </w:rPr>
              <w:t>Nabava i postava = 0,00 EUR</w:t>
            </w:r>
          </w:p>
        </w:tc>
        <w:tc>
          <w:tcPr>
            <w:tcW w:w="1294" w:type="dxa"/>
            <w:gridSpan w:val="2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9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00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052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57" w:type="dxa"/>
            <w:gridSpan w:val="7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6" w:hRule="atLeast"/>
        </w:trPr>
        <w:tc>
          <w:tcPr>
            <w:tcW w:w="647" w:type="dxa"/>
            <w:gridSpan w:val="2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>d)</w:t>
            </w:r>
          </w:p>
        </w:tc>
        <w:tc>
          <w:tcPr>
            <w:tcW w:w="283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Zemljište -za Dječje igralište </w:t>
            </w:r>
          </w:p>
        </w:tc>
        <w:tc>
          <w:tcPr>
            <w:tcW w:w="1294" w:type="dxa"/>
            <w:gridSpan w:val="2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2.654,46 </w:t>
            </w:r>
          </w:p>
        </w:tc>
        <w:tc>
          <w:tcPr>
            <w:tcW w:w="1269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00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052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Izvorni plan: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(11) Proračun općine 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=2.654,46 EUR</w:t>
            </w:r>
          </w:p>
          <w:p>
            <w:pPr>
              <w:pStyle w:val="Normal"/>
              <w:widowControl w:val="false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III. izmjene i dopune: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(11) Proračun općine</w:t>
            </w:r>
          </w:p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=0,00 EUR</w:t>
            </w:r>
          </w:p>
        </w:tc>
        <w:tc>
          <w:tcPr>
            <w:tcW w:w="957" w:type="dxa"/>
            <w:gridSpan w:val="7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4111.93</w:t>
            </w:r>
          </w:p>
        </w:tc>
      </w:tr>
      <w:tr>
        <w:trPr>
          <w:trHeight w:val="506" w:hRule="atLeast"/>
        </w:trPr>
        <w:tc>
          <w:tcPr>
            <w:tcW w:w="647" w:type="dxa"/>
            <w:gridSpan w:val="2"/>
            <w:tcBorders>
              <w:top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1" w:type="dxa"/>
            <w:tcBorders>
              <w:top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6"/>
                <w:szCs w:val="16"/>
              </w:rPr>
              <w:t>Zemljište = 2.654,46 EUR</w:t>
            </w:r>
          </w:p>
        </w:tc>
        <w:tc>
          <w:tcPr>
            <w:tcW w:w="1294" w:type="dxa"/>
            <w:gridSpan w:val="2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9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00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52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57" w:type="dxa"/>
            <w:gridSpan w:val="7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6" w:hRule="atLeast"/>
        </w:trPr>
        <w:tc>
          <w:tcPr>
            <w:tcW w:w="647" w:type="dxa"/>
            <w:gridSpan w:val="2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e)</w:t>
            </w:r>
          </w:p>
        </w:tc>
        <w:tc>
          <w:tcPr>
            <w:tcW w:w="283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Centar:klupe,koševi i dr. 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94" w:type="dxa"/>
            <w:gridSpan w:val="2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1300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052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u w:val="single"/>
              </w:rPr>
              <w:t>Izvor Izvorni plan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(0,00)</w:t>
            </w:r>
          </w:p>
          <w:p>
            <w:pPr>
              <w:pStyle w:val="Normal"/>
              <w:widowControl w:val="false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III. izmjene i dopune: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(11) Proračun općine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=300,00  EUR</w:t>
            </w:r>
          </w:p>
        </w:tc>
        <w:tc>
          <w:tcPr>
            <w:tcW w:w="957" w:type="dxa"/>
            <w:gridSpan w:val="7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4221.94</w:t>
            </w:r>
          </w:p>
        </w:tc>
      </w:tr>
      <w:tr>
        <w:trPr>
          <w:trHeight w:val="506" w:hRule="atLeast"/>
        </w:trPr>
        <w:tc>
          <w:tcPr>
            <w:tcW w:w="647" w:type="dxa"/>
            <w:gridSpan w:val="2"/>
            <w:tcBorders>
              <w:top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1" w:type="dxa"/>
            <w:tcBorders>
              <w:top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16"/>
                <w:szCs w:val="16"/>
              </w:rPr>
              <w:t>Nabava i postava = 300,00 EUR</w:t>
            </w:r>
          </w:p>
        </w:tc>
        <w:tc>
          <w:tcPr>
            <w:tcW w:w="1294" w:type="dxa"/>
            <w:gridSpan w:val="2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9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00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52" w:type="dxa"/>
            <w:gridSpan w:val="3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57" w:type="dxa"/>
            <w:gridSpan w:val="7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647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83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SVEUKUPNO: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2"/>
              </w:rPr>
            </w:pPr>
            <w:r>
              <w:rPr>
                <w:b/>
                <w:sz w:val="18"/>
                <w:szCs w:val="18"/>
              </w:rPr>
              <w:t xml:space="preserve">EUR </w:t>
            </w:r>
          </w:p>
        </w:tc>
        <w:tc>
          <w:tcPr>
            <w:tcW w:w="1294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ind w:left="27" w:hanging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1.902.700,98 </w:t>
            </w:r>
          </w:p>
        </w:tc>
        <w:tc>
          <w:tcPr>
            <w:tcW w:w="1269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auto"/>
                <w:sz w:val="18"/>
                <w:szCs w:val="18"/>
                <w:u w:val="none"/>
                <w:em w:val="none"/>
              </w:rPr>
              <w:t>1.556.615,87</w:t>
            </w:r>
          </w:p>
        </w:tc>
        <w:tc>
          <w:tcPr>
            <w:tcW w:w="1308" w:type="dxa"/>
            <w:gridSpan w:val="4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auto"/>
                <w:sz w:val="18"/>
                <w:szCs w:val="18"/>
                <w:u w:val="none"/>
                <w:em w:val="none"/>
              </w:rPr>
              <w:t>1.442.096,47</w:t>
            </w:r>
          </w:p>
        </w:tc>
        <w:tc>
          <w:tcPr>
            <w:tcW w:w="2962" w:type="dxa"/>
            <w:gridSpan w:val="5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9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Članak 4.</w:t>
      </w:r>
    </w:p>
    <w:p>
      <w:pPr>
        <w:pStyle w:val="Normal"/>
        <w:spacing w:lineRule="auto" w:line="276" w:before="0" w:after="240"/>
        <w:jc w:val="both"/>
        <w:rPr>
          <w:sz w:val="22"/>
          <w:szCs w:val="22"/>
        </w:rPr>
      </w:pPr>
      <w:r>
        <w:rPr>
          <w:sz w:val="22"/>
          <w:szCs w:val="22"/>
        </w:rPr>
        <w:tab/>
        <w:t>Sredstva potrebna za realizaciju Programa građenja komunalne infrastrukture osigurat će se iz općih poreznih prihoda, kapitalne potpora iz LAG-a, kapitalne potpore iz ŽUC-a KZŽ, prihoda od kapitalnih potpora resornih Ministarstva, Fondova EU i kreditnog zaduženja sukladno Tabeli u nastavku.</w:t>
      </w:r>
    </w:p>
    <w:tbl>
      <w:tblPr>
        <w:tblW w:w="10207" w:type="dxa"/>
        <w:jc w:val="left"/>
        <w:tblInd w:w="-142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406"/>
        <w:gridCol w:w="1878"/>
        <w:gridCol w:w="1937"/>
        <w:gridCol w:w="1985"/>
      </w:tblGrid>
      <w:tr>
        <w:trPr/>
        <w:tc>
          <w:tcPr>
            <w:tcW w:w="4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Sadrajitablice"/>
              <w:snapToGrid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IZVOR SREDSTAVA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Sadrajitablice"/>
              <w:snapToGrid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IZVORNI PLAN –   EUR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Sadrajitablice"/>
              <w:snapToGrid w:val="false"/>
              <w:jc w:val="center"/>
              <w:rPr/>
            </w:pPr>
            <w:r>
              <w:rPr>
                <w:b/>
                <w:bCs/>
                <w:sz w:val="21"/>
                <w:szCs w:val="21"/>
              </w:rPr>
              <w:t>TEKUĆI PLAN -  EUR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IZVRŠENJE 01.01.-31.12.2023.</w:t>
            </w:r>
            <w:bookmarkStart w:id="3" w:name="__DdeLink__4436_6380473531"/>
            <w:r>
              <w:rPr>
                <w:b/>
                <w:bCs/>
                <w:sz w:val="21"/>
                <w:szCs w:val="21"/>
              </w:rPr>
              <w:t xml:space="preserve"> (EUR)</w:t>
            </w:r>
            <w:bookmarkEnd w:id="3"/>
          </w:p>
        </w:tc>
      </w:tr>
      <w:tr>
        <w:trPr/>
        <w:tc>
          <w:tcPr>
            <w:tcW w:w="440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adrajitablice"/>
              <w:snapToGrid w:val="false"/>
              <w:rPr/>
            </w:pPr>
            <w:r>
              <w:rPr>
                <w:sz w:val="21"/>
                <w:szCs w:val="21"/>
              </w:rPr>
              <w:t>Proračun Općine Mihovljan –prihod od poreza  i prireza na dohodak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napToGrid w:val="false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256.962,41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napToGrid w:val="false"/>
              <w:jc w:val="right"/>
              <w:rPr/>
            </w:pPr>
            <w:r>
              <w:rPr>
                <w:color w:val="auto"/>
                <w:sz w:val="21"/>
                <w:szCs w:val="21"/>
              </w:rPr>
              <w:t>191.615,87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napToGrid w:val="false"/>
              <w:jc w:val="right"/>
              <w:rPr/>
            </w:pPr>
            <w:r>
              <w:rPr>
                <w:color w:val="auto"/>
                <w:sz w:val="21"/>
                <w:szCs w:val="21"/>
              </w:rPr>
              <w:t>156.114,34</w:t>
            </w:r>
          </w:p>
        </w:tc>
      </w:tr>
      <w:tr>
        <w:trPr/>
        <w:tc>
          <w:tcPr>
            <w:tcW w:w="440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adrajitablice"/>
              <w:snapToGrid w:val="false"/>
              <w:rPr/>
            </w:pPr>
            <w:r>
              <w:rPr>
                <w:sz w:val="21"/>
                <w:szCs w:val="21"/>
              </w:rPr>
              <w:t>Prihod od kapitalnih potpora resornih Ministarstava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napToGrid w:val="false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299.549,07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napToGrid w:val="false"/>
              <w:jc w:val="right"/>
              <w:rPr/>
            </w:pPr>
            <w:r>
              <w:rPr>
                <w:color w:val="auto"/>
                <w:sz w:val="21"/>
                <w:szCs w:val="21"/>
              </w:rPr>
              <w:t>150.000,00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napToGrid w:val="false"/>
              <w:jc w:val="right"/>
              <w:rPr/>
            </w:pPr>
            <w:r>
              <w:rPr>
                <w:color w:val="auto"/>
                <w:sz w:val="21"/>
                <w:szCs w:val="21"/>
              </w:rPr>
              <w:t>102.644,56</w:t>
            </w:r>
          </w:p>
        </w:tc>
      </w:tr>
      <w:tr>
        <w:trPr/>
        <w:tc>
          <w:tcPr>
            <w:tcW w:w="440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adrajitablice"/>
              <w:snapToGrid w:val="false"/>
              <w:rPr/>
            </w:pPr>
            <w:r>
              <w:rPr>
                <w:sz w:val="21"/>
                <w:szCs w:val="21"/>
              </w:rPr>
              <w:t xml:space="preserve">ŽUC-Krapinsko zagorska županija 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napToGrid w:val="false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13.272,28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napToGrid w:val="false"/>
              <w:jc w:val="right"/>
              <w:rPr/>
            </w:pPr>
            <w:r>
              <w:rPr>
                <w:color w:val="auto"/>
                <w:sz w:val="21"/>
                <w:szCs w:val="21"/>
              </w:rPr>
              <w:t>35.000,00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napToGrid w:val="false"/>
              <w:jc w:val="right"/>
              <w:rPr/>
            </w:pPr>
            <w:r>
              <w:rPr>
                <w:color w:val="auto"/>
                <w:sz w:val="21"/>
                <w:szCs w:val="21"/>
              </w:rPr>
              <w:t>35.000,00</w:t>
            </w:r>
          </w:p>
        </w:tc>
      </w:tr>
      <w:tr>
        <w:trPr/>
        <w:tc>
          <w:tcPr>
            <w:tcW w:w="440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adrajitablice"/>
              <w:snapToGrid w:val="false"/>
              <w:rPr/>
            </w:pPr>
            <w:r>
              <w:rPr>
                <w:sz w:val="21"/>
                <w:szCs w:val="21"/>
              </w:rPr>
              <w:t>LAG Zeleni bregi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napToGrid w:val="false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32.917,22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napToGrid w:val="false"/>
              <w:jc w:val="right"/>
              <w:rPr/>
            </w:pPr>
            <w:r>
              <w:rPr>
                <w:color w:val="auto"/>
                <w:sz w:val="21"/>
                <w:szCs w:val="21"/>
              </w:rPr>
              <w:t>0,00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napToGrid w:val="false"/>
              <w:jc w:val="right"/>
              <w:rPr/>
            </w:pPr>
            <w:r>
              <w:rPr>
                <w:color w:val="auto"/>
                <w:sz w:val="21"/>
                <w:szCs w:val="21"/>
              </w:rPr>
              <w:t>0,00</w:t>
            </w:r>
          </w:p>
        </w:tc>
      </w:tr>
      <w:tr>
        <w:trPr/>
        <w:tc>
          <w:tcPr>
            <w:tcW w:w="440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adrajitablice"/>
              <w:snapToGrid w:val="false"/>
              <w:rPr/>
            </w:pPr>
            <w:r>
              <w:rPr>
                <w:sz w:val="21"/>
                <w:szCs w:val="21"/>
              </w:rPr>
              <w:t xml:space="preserve">EU sredstva 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napToGrid w:val="false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500.000,00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napToGrid w:val="false"/>
              <w:jc w:val="right"/>
              <w:rPr/>
            </w:pPr>
            <w:r>
              <w:rPr>
                <w:color w:val="auto"/>
                <w:sz w:val="21"/>
                <w:szCs w:val="21"/>
              </w:rPr>
              <w:t>1.180.000,00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napToGrid w:val="false"/>
              <w:jc w:val="right"/>
              <w:rPr/>
            </w:pPr>
            <w:r>
              <w:rPr>
                <w:color w:val="auto"/>
                <w:sz w:val="21"/>
                <w:szCs w:val="21"/>
              </w:rPr>
              <w:t>1.148.337,57</w:t>
            </w:r>
          </w:p>
        </w:tc>
      </w:tr>
      <w:tr>
        <w:trPr/>
        <w:tc>
          <w:tcPr>
            <w:tcW w:w="440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adrajitablice"/>
              <w:snapToGrid w:val="false"/>
              <w:rPr/>
            </w:pPr>
            <w:r>
              <w:rPr>
                <w:sz w:val="21"/>
                <w:szCs w:val="21"/>
              </w:rPr>
              <w:t>Kreditno zaduženje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napToGrid w:val="false"/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>800.000,00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napToGrid w:val="false"/>
              <w:jc w:val="right"/>
              <w:rPr/>
            </w:pPr>
            <w:r>
              <w:rPr>
                <w:color w:val="auto"/>
                <w:sz w:val="22"/>
              </w:rPr>
              <w:t>0,00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adrajitablice"/>
              <w:snapToGrid w:val="false"/>
              <w:jc w:val="right"/>
              <w:rPr/>
            </w:pPr>
            <w:r>
              <w:rPr>
                <w:color w:val="auto"/>
                <w:sz w:val="22"/>
              </w:rPr>
              <w:t>0,00</w:t>
            </w:r>
          </w:p>
        </w:tc>
      </w:tr>
      <w:tr>
        <w:trPr/>
        <w:tc>
          <w:tcPr>
            <w:tcW w:w="4406" w:type="dxa"/>
            <w:tcBorders>
              <w:left w:val="single" w:sz="2" w:space="0" w:color="000000"/>
              <w:bottom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Sadrajitablice"/>
              <w:snapToGrid w:val="false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Sadrajitablice"/>
              <w:snapToGrid w:val="false"/>
              <w:jc w:val="righ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1.902.700,98 EUR 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1"/>
                <w:szCs w:val="21"/>
                <w:u w:val="none"/>
                <w:em w:val="none"/>
              </w:rPr>
              <w:t>1.556.615,87 EUR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1"/>
                <w:szCs w:val="21"/>
                <w:u w:val="none"/>
                <w:em w:val="none"/>
              </w:rPr>
              <w:t>1.442.096,47 EUR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bCs/>
          <w:sz w:val="22"/>
          <w:szCs w:val="22"/>
        </w:rPr>
        <w:t>Članak 5.</w:t>
      </w:r>
    </w:p>
    <w:p>
      <w:pPr>
        <w:pStyle w:val="Normal"/>
        <w:ind w:firstLine="708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cs="Arial Narrow"/>
          <w:b w:val="false"/>
          <w:bCs w:val="false"/>
          <w:sz w:val="22"/>
          <w:szCs w:val="20"/>
        </w:rPr>
        <w:t xml:space="preserve">Ovaj Izvještaj o izvršenju </w:t>
      </w:r>
      <w:r>
        <w:rPr>
          <w:rFonts w:cs="Tahoma"/>
          <w:b w:val="false"/>
          <w:bCs w:val="false"/>
          <w:sz w:val="22"/>
          <w:szCs w:val="20"/>
        </w:rPr>
        <w:t>Programa gradnje objekata i uređaja komunalne infrastrukture</w:t>
      </w:r>
      <w:r>
        <w:rPr>
          <w:rFonts w:cs="Arial Narrow"/>
          <w:b w:val="false"/>
          <w:bCs w:val="false"/>
          <w:sz w:val="22"/>
          <w:szCs w:val="20"/>
        </w:rPr>
        <w:t xml:space="preserve"> u 2023. godini sastavni je dio godišnjeg izvješća o izvršenju Proračuna Općine Mihovljan za 2023. godini i objaviti će se u Službenom glasniku Krapinsko – zagorske županije.</w:t>
      </w:r>
    </w:p>
    <w:p>
      <w:pPr>
        <w:pStyle w:val="Normal"/>
        <w:ind w:firstLine="708"/>
        <w:jc w:val="both"/>
        <w:rPr>
          <w:rFonts w:cs="Arial Narrow"/>
          <w:sz w:val="22"/>
          <w:szCs w:val="20"/>
        </w:rPr>
      </w:pPr>
      <w:r>
        <w:rPr>
          <w:rFonts w:cs="Arial Narrow"/>
          <w:sz w:val="22"/>
          <w:szCs w:val="20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ind w:left="6372" w:hanging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Predsjednik Općinskog vijeća</w:t>
      </w:r>
    </w:p>
    <w:p>
      <w:pPr>
        <w:pStyle w:val="Normal"/>
        <w:rPr/>
      </w:pPr>
      <w:r>
        <w:rPr>
          <w:sz w:val="22"/>
          <w:szCs w:val="22"/>
        </w:rPr>
        <w:tab/>
        <w:tab/>
        <w:tab/>
        <w:tab/>
        <w:tab/>
        <w:tab/>
        <w:t xml:space="preserve">                                                                                mr. Silvestar Vučković dr.vet.med.</w:t>
      </w:r>
    </w:p>
    <w:p>
      <w:pPr>
        <w:pStyle w:val="Normal"/>
        <w:spacing w:lineRule="auto" w:line="276"/>
        <w:jc w:val="both"/>
        <w:rPr/>
      </w:pPr>
      <w:r>
        <w:rPr/>
      </w:r>
    </w:p>
    <w:sectPr>
      <w:type w:val="nextPage"/>
      <w:pgSz w:w="11906" w:h="16838"/>
      <w:pgMar w:left="1077" w:right="707" w:header="0" w:top="0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sz w:val="22"/>
        <w:rFonts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327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6909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8e6909"/>
    <w:rPr>
      <w:rFonts w:ascii="Tahoma" w:hAnsi="Tahoma" w:eastAsia="Times New Roman" w:cs="Tahoma"/>
      <w:sz w:val="16"/>
      <w:szCs w:val="16"/>
      <w:lang w:eastAsia="hr-HR"/>
    </w:rPr>
  </w:style>
  <w:style w:type="character" w:styleId="Internetskapoveznica" w:customStyle="1">
    <w:name w:val="Internetska poveznica"/>
    <w:rsid w:val="004468fd"/>
    <w:rPr>
      <w:color w:val="000080"/>
      <w:u w:val="single"/>
    </w:rPr>
  </w:style>
  <w:style w:type="character" w:styleId="ListLabel1" w:customStyle="1">
    <w:name w:val="ListLabel 1"/>
    <w:qFormat/>
    <w:rsid w:val="004468fd"/>
    <w:rPr>
      <w:rFonts w:ascii="Arial Narrow" w:hAnsi="Arial Narrow" w:cs="Segoe UI"/>
      <w:sz w:val="22"/>
    </w:rPr>
  </w:style>
  <w:style w:type="character" w:styleId="ListLabel2" w:customStyle="1">
    <w:name w:val="ListLabel 2"/>
    <w:qFormat/>
    <w:rsid w:val="004468fd"/>
    <w:rPr>
      <w:rFonts w:cs="Courier New"/>
    </w:rPr>
  </w:style>
  <w:style w:type="character" w:styleId="ListLabel3" w:customStyle="1">
    <w:name w:val="ListLabel 3"/>
    <w:qFormat/>
    <w:rsid w:val="004468fd"/>
    <w:rPr>
      <w:rFonts w:cs="Wingdings"/>
    </w:rPr>
  </w:style>
  <w:style w:type="character" w:styleId="ListLabel4" w:customStyle="1">
    <w:name w:val="ListLabel 4"/>
    <w:qFormat/>
    <w:rsid w:val="004468fd"/>
    <w:rPr>
      <w:rFonts w:cs="Symbol"/>
    </w:rPr>
  </w:style>
  <w:style w:type="character" w:styleId="ListLabel5" w:customStyle="1">
    <w:name w:val="ListLabel 5"/>
    <w:qFormat/>
    <w:rsid w:val="004468fd"/>
    <w:rPr>
      <w:rFonts w:cs="Courier New"/>
    </w:rPr>
  </w:style>
  <w:style w:type="character" w:styleId="ListLabel6" w:customStyle="1">
    <w:name w:val="ListLabel 6"/>
    <w:qFormat/>
    <w:rsid w:val="004468fd"/>
    <w:rPr>
      <w:rFonts w:cs="Wingdings"/>
    </w:rPr>
  </w:style>
  <w:style w:type="character" w:styleId="ListLabel7" w:customStyle="1">
    <w:name w:val="ListLabel 7"/>
    <w:qFormat/>
    <w:rsid w:val="004468fd"/>
    <w:rPr>
      <w:rFonts w:cs="Symbol"/>
    </w:rPr>
  </w:style>
  <w:style w:type="character" w:styleId="ListLabel8" w:customStyle="1">
    <w:name w:val="ListLabel 8"/>
    <w:qFormat/>
    <w:rsid w:val="004468fd"/>
    <w:rPr>
      <w:rFonts w:cs="Courier New"/>
    </w:rPr>
  </w:style>
  <w:style w:type="character" w:styleId="ListLabel9" w:customStyle="1">
    <w:name w:val="ListLabel 9"/>
    <w:qFormat/>
    <w:rsid w:val="004468fd"/>
    <w:rPr>
      <w:rFonts w:cs="Wingdings"/>
    </w:rPr>
  </w:style>
  <w:style w:type="character" w:styleId="ListLabel10" w:customStyle="1">
    <w:name w:val="ListLabel 10"/>
    <w:qFormat/>
    <w:rsid w:val="004468fd"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styleId="ListLabel11" w:customStyle="1">
    <w:name w:val="ListLabel 11"/>
    <w:qFormat/>
    <w:rsid w:val="004468fd"/>
    <w:rPr>
      <w:rFonts w:ascii="Arial Narrow" w:hAnsi="Arial Narrow" w:cs="Segoe UI"/>
      <w:sz w:val="22"/>
    </w:rPr>
  </w:style>
  <w:style w:type="character" w:styleId="ListLabel12" w:customStyle="1">
    <w:name w:val="ListLabel 12"/>
    <w:qFormat/>
    <w:rsid w:val="004468fd"/>
    <w:rPr>
      <w:rFonts w:cs="Courier New"/>
    </w:rPr>
  </w:style>
  <w:style w:type="character" w:styleId="ListLabel13" w:customStyle="1">
    <w:name w:val="ListLabel 13"/>
    <w:qFormat/>
    <w:rsid w:val="004468fd"/>
    <w:rPr>
      <w:rFonts w:cs="Wingdings"/>
    </w:rPr>
  </w:style>
  <w:style w:type="character" w:styleId="ListLabel14" w:customStyle="1">
    <w:name w:val="ListLabel 14"/>
    <w:qFormat/>
    <w:rsid w:val="004468fd"/>
    <w:rPr>
      <w:rFonts w:cs="Symbol"/>
    </w:rPr>
  </w:style>
  <w:style w:type="character" w:styleId="ListLabel15" w:customStyle="1">
    <w:name w:val="ListLabel 15"/>
    <w:qFormat/>
    <w:rsid w:val="004468fd"/>
    <w:rPr>
      <w:rFonts w:cs="Courier New"/>
    </w:rPr>
  </w:style>
  <w:style w:type="character" w:styleId="ListLabel16" w:customStyle="1">
    <w:name w:val="ListLabel 16"/>
    <w:qFormat/>
    <w:rsid w:val="004468fd"/>
    <w:rPr>
      <w:rFonts w:cs="Wingdings"/>
    </w:rPr>
  </w:style>
  <w:style w:type="character" w:styleId="ListLabel17" w:customStyle="1">
    <w:name w:val="ListLabel 17"/>
    <w:qFormat/>
    <w:rsid w:val="004468fd"/>
    <w:rPr>
      <w:rFonts w:cs="Symbol"/>
    </w:rPr>
  </w:style>
  <w:style w:type="character" w:styleId="ListLabel18" w:customStyle="1">
    <w:name w:val="ListLabel 18"/>
    <w:qFormat/>
    <w:rsid w:val="004468fd"/>
    <w:rPr>
      <w:rFonts w:cs="Courier New"/>
    </w:rPr>
  </w:style>
  <w:style w:type="character" w:styleId="ListLabel19" w:customStyle="1">
    <w:name w:val="ListLabel 19"/>
    <w:qFormat/>
    <w:rsid w:val="004468fd"/>
    <w:rPr>
      <w:rFonts w:cs="Wingdings"/>
    </w:rPr>
  </w:style>
  <w:style w:type="character" w:styleId="ListLabel20" w:customStyle="1">
    <w:name w:val="ListLabel 20"/>
    <w:qFormat/>
    <w:rsid w:val="004468fd"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styleId="ListLabel21" w:customStyle="1">
    <w:name w:val="ListLabel 21"/>
    <w:qFormat/>
    <w:rsid w:val="004468fd"/>
    <w:rPr>
      <w:rFonts w:ascii="Arial Narrow" w:hAnsi="Arial Narrow" w:cs="Segoe UI"/>
      <w:sz w:val="22"/>
    </w:rPr>
  </w:style>
  <w:style w:type="character" w:styleId="ListLabel22" w:customStyle="1">
    <w:name w:val="ListLabel 22"/>
    <w:qFormat/>
    <w:rsid w:val="004468fd"/>
    <w:rPr>
      <w:rFonts w:cs="Courier New"/>
    </w:rPr>
  </w:style>
  <w:style w:type="character" w:styleId="ListLabel23" w:customStyle="1">
    <w:name w:val="ListLabel 23"/>
    <w:qFormat/>
    <w:rsid w:val="004468fd"/>
    <w:rPr>
      <w:rFonts w:cs="Wingdings"/>
    </w:rPr>
  </w:style>
  <w:style w:type="character" w:styleId="ListLabel24" w:customStyle="1">
    <w:name w:val="ListLabel 24"/>
    <w:qFormat/>
    <w:rsid w:val="004468fd"/>
    <w:rPr>
      <w:rFonts w:cs="Symbol"/>
    </w:rPr>
  </w:style>
  <w:style w:type="character" w:styleId="ListLabel25" w:customStyle="1">
    <w:name w:val="ListLabel 25"/>
    <w:qFormat/>
    <w:rsid w:val="004468fd"/>
    <w:rPr>
      <w:rFonts w:cs="Courier New"/>
    </w:rPr>
  </w:style>
  <w:style w:type="character" w:styleId="ListLabel26" w:customStyle="1">
    <w:name w:val="ListLabel 26"/>
    <w:qFormat/>
    <w:rsid w:val="004468fd"/>
    <w:rPr>
      <w:rFonts w:cs="Wingdings"/>
    </w:rPr>
  </w:style>
  <w:style w:type="character" w:styleId="ListLabel27" w:customStyle="1">
    <w:name w:val="ListLabel 27"/>
    <w:qFormat/>
    <w:rsid w:val="004468fd"/>
    <w:rPr>
      <w:rFonts w:cs="Symbol"/>
    </w:rPr>
  </w:style>
  <w:style w:type="character" w:styleId="ListLabel28" w:customStyle="1">
    <w:name w:val="ListLabel 28"/>
    <w:qFormat/>
    <w:rsid w:val="004468fd"/>
    <w:rPr>
      <w:rFonts w:cs="Courier New"/>
    </w:rPr>
  </w:style>
  <w:style w:type="character" w:styleId="ListLabel29" w:customStyle="1">
    <w:name w:val="ListLabel 29"/>
    <w:qFormat/>
    <w:rsid w:val="004468fd"/>
    <w:rPr>
      <w:rFonts w:cs="Wingdings"/>
    </w:rPr>
  </w:style>
  <w:style w:type="character" w:styleId="ListLabel30" w:customStyle="1">
    <w:name w:val="ListLabel 30"/>
    <w:qFormat/>
    <w:rsid w:val="004468fd"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styleId="ListLabel31" w:customStyle="1">
    <w:name w:val="ListLabel 31"/>
    <w:qFormat/>
    <w:rsid w:val="004468fd"/>
    <w:rPr>
      <w:rFonts w:ascii="Arial Narrow" w:hAnsi="Arial Narrow" w:cs="Segoe UI"/>
      <w:sz w:val="22"/>
    </w:rPr>
  </w:style>
  <w:style w:type="character" w:styleId="ListLabel32" w:customStyle="1">
    <w:name w:val="ListLabel 32"/>
    <w:qFormat/>
    <w:rsid w:val="004468fd"/>
    <w:rPr>
      <w:rFonts w:cs="Courier New"/>
    </w:rPr>
  </w:style>
  <w:style w:type="character" w:styleId="ListLabel33" w:customStyle="1">
    <w:name w:val="ListLabel 33"/>
    <w:qFormat/>
    <w:rsid w:val="004468fd"/>
    <w:rPr>
      <w:rFonts w:cs="Wingdings"/>
    </w:rPr>
  </w:style>
  <w:style w:type="character" w:styleId="ListLabel34" w:customStyle="1">
    <w:name w:val="ListLabel 34"/>
    <w:qFormat/>
    <w:rsid w:val="004468fd"/>
    <w:rPr>
      <w:rFonts w:cs="Symbol"/>
    </w:rPr>
  </w:style>
  <w:style w:type="character" w:styleId="ListLabel35" w:customStyle="1">
    <w:name w:val="ListLabel 35"/>
    <w:qFormat/>
    <w:rsid w:val="004468fd"/>
    <w:rPr>
      <w:rFonts w:cs="Courier New"/>
    </w:rPr>
  </w:style>
  <w:style w:type="character" w:styleId="ListLabel36" w:customStyle="1">
    <w:name w:val="ListLabel 36"/>
    <w:qFormat/>
    <w:rsid w:val="004468fd"/>
    <w:rPr>
      <w:rFonts w:cs="Wingdings"/>
    </w:rPr>
  </w:style>
  <w:style w:type="character" w:styleId="ListLabel37" w:customStyle="1">
    <w:name w:val="ListLabel 37"/>
    <w:qFormat/>
    <w:rsid w:val="004468fd"/>
    <w:rPr>
      <w:rFonts w:cs="Symbol"/>
    </w:rPr>
  </w:style>
  <w:style w:type="character" w:styleId="ListLabel38" w:customStyle="1">
    <w:name w:val="ListLabel 38"/>
    <w:qFormat/>
    <w:rsid w:val="004468fd"/>
    <w:rPr>
      <w:rFonts w:cs="Courier New"/>
    </w:rPr>
  </w:style>
  <w:style w:type="character" w:styleId="ListLabel39" w:customStyle="1">
    <w:name w:val="ListLabel 39"/>
    <w:qFormat/>
    <w:rsid w:val="004468fd"/>
    <w:rPr>
      <w:rFonts w:cs="Wingdings"/>
    </w:rPr>
  </w:style>
  <w:style w:type="character" w:styleId="ListLabel40" w:customStyle="1">
    <w:name w:val="ListLabel 40"/>
    <w:qFormat/>
    <w:rsid w:val="004468fd"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styleId="ListLabel41" w:customStyle="1">
    <w:name w:val="ListLabel 41"/>
    <w:qFormat/>
    <w:rsid w:val="004468fd"/>
    <w:rPr>
      <w:rFonts w:ascii="Arial Narrow" w:hAnsi="Arial Narrow" w:cs="Segoe UI"/>
      <w:sz w:val="22"/>
    </w:rPr>
  </w:style>
  <w:style w:type="character" w:styleId="ListLabel42" w:customStyle="1">
    <w:name w:val="ListLabel 42"/>
    <w:qFormat/>
    <w:rsid w:val="004468fd"/>
    <w:rPr>
      <w:rFonts w:cs="Courier New"/>
    </w:rPr>
  </w:style>
  <w:style w:type="character" w:styleId="ListLabel43" w:customStyle="1">
    <w:name w:val="ListLabel 43"/>
    <w:qFormat/>
    <w:rsid w:val="004468fd"/>
    <w:rPr>
      <w:rFonts w:cs="Wingdings"/>
    </w:rPr>
  </w:style>
  <w:style w:type="character" w:styleId="ListLabel44" w:customStyle="1">
    <w:name w:val="ListLabel 44"/>
    <w:qFormat/>
    <w:rsid w:val="004468fd"/>
    <w:rPr>
      <w:rFonts w:cs="Symbol"/>
    </w:rPr>
  </w:style>
  <w:style w:type="character" w:styleId="ListLabel45" w:customStyle="1">
    <w:name w:val="ListLabel 45"/>
    <w:qFormat/>
    <w:rsid w:val="004468fd"/>
    <w:rPr>
      <w:rFonts w:cs="Courier New"/>
    </w:rPr>
  </w:style>
  <w:style w:type="character" w:styleId="ListLabel46" w:customStyle="1">
    <w:name w:val="ListLabel 46"/>
    <w:qFormat/>
    <w:rsid w:val="004468fd"/>
    <w:rPr>
      <w:rFonts w:cs="Wingdings"/>
    </w:rPr>
  </w:style>
  <w:style w:type="character" w:styleId="ListLabel47" w:customStyle="1">
    <w:name w:val="ListLabel 47"/>
    <w:qFormat/>
    <w:rsid w:val="004468fd"/>
    <w:rPr>
      <w:rFonts w:cs="Symbol"/>
    </w:rPr>
  </w:style>
  <w:style w:type="character" w:styleId="ListLabel48" w:customStyle="1">
    <w:name w:val="ListLabel 48"/>
    <w:qFormat/>
    <w:rsid w:val="004468fd"/>
    <w:rPr>
      <w:rFonts w:cs="Courier New"/>
    </w:rPr>
  </w:style>
  <w:style w:type="character" w:styleId="ListLabel49" w:customStyle="1">
    <w:name w:val="ListLabel 49"/>
    <w:qFormat/>
    <w:rsid w:val="004468fd"/>
    <w:rPr>
      <w:rFonts w:cs="Wingdings"/>
    </w:rPr>
  </w:style>
  <w:style w:type="character" w:styleId="ListLabel50" w:customStyle="1">
    <w:name w:val="ListLabel 50"/>
    <w:qFormat/>
    <w:rsid w:val="004468fd"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styleId="ListLabel51" w:customStyle="1">
    <w:name w:val="ListLabel 51"/>
    <w:qFormat/>
    <w:rsid w:val="004468fd"/>
    <w:rPr>
      <w:rFonts w:ascii="Arial Narrow" w:hAnsi="Arial Narrow" w:cs="Segoe UI"/>
      <w:sz w:val="22"/>
    </w:rPr>
  </w:style>
  <w:style w:type="character" w:styleId="ListLabel52" w:customStyle="1">
    <w:name w:val="ListLabel 52"/>
    <w:qFormat/>
    <w:rsid w:val="004468fd"/>
    <w:rPr>
      <w:rFonts w:cs="Courier New"/>
    </w:rPr>
  </w:style>
  <w:style w:type="character" w:styleId="ListLabel53" w:customStyle="1">
    <w:name w:val="ListLabel 53"/>
    <w:qFormat/>
    <w:rsid w:val="004468fd"/>
    <w:rPr>
      <w:rFonts w:cs="Wingdings"/>
    </w:rPr>
  </w:style>
  <w:style w:type="character" w:styleId="ListLabel54" w:customStyle="1">
    <w:name w:val="ListLabel 54"/>
    <w:qFormat/>
    <w:rsid w:val="004468fd"/>
    <w:rPr>
      <w:rFonts w:cs="Symbol"/>
    </w:rPr>
  </w:style>
  <w:style w:type="character" w:styleId="ListLabel55" w:customStyle="1">
    <w:name w:val="ListLabel 55"/>
    <w:qFormat/>
    <w:rsid w:val="004468fd"/>
    <w:rPr>
      <w:rFonts w:cs="Courier New"/>
    </w:rPr>
  </w:style>
  <w:style w:type="character" w:styleId="ListLabel56" w:customStyle="1">
    <w:name w:val="ListLabel 56"/>
    <w:qFormat/>
    <w:rsid w:val="004468fd"/>
    <w:rPr>
      <w:rFonts w:cs="Wingdings"/>
    </w:rPr>
  </w:style>
  <w:style w:type="character" w:styleId="ListLabel57" w:customStyle="1">
    <w:name w:val="ListLabel 57"/>
    <w:qFormat/>
    <w:rsid w:val="004468fd"/>
    <w:rPr>
      <w:rFonts w:cs="Symbol"/>
    </w:rPr>
  </w:style>
  <w:style w:type="character" w:styleId="ListLabel58" w:customStyle="1">
    <w:name w:val="ListLabel 58"/>
    <w:qFormat/>
    <w:rsid w:val="004468fd"/>
    <w:rPr>
      <w:rFonts w:cs="Courier New"/>
    </w:rPr>
  </w:style>
  <w:style w:type="character" w:styleId="ListLabel59" w:customStyle="1">
    <w:name w:val="ListLabel 59"/>
    <w:qFormat/>
    <w:rsid w:val="004468fd"/>
    <w:rPr>
      <w:rFonts w:cs="Wingdings"/>
    </w:rPr>
  </w:style>
  <w:style w:type="character" w:styleId="ListLabel60" w:customStyle="1">
    <w:name w:val="ListLabel 60"/>
    <w:qFormat/>
    <w:rsid w:val="004468fd"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styleId="ListLabel61" w:customStyle="1">
    <w:name w:val="ListLabel 61"/>
    <w:qFormat/>
    <w:rsid w:val="004468fd"/>
    <w:rPr>
      <w:rFonts w:ascii="Arial Narrow" w:hAnsi="Arial Narrow" w:cs="Segoe UI"/>
      <w:sz w:val="22"/>
    </w:rPr>
  </w:style>
  <w:style w:type="character" w:styleId="ListLabel62" w:customStyle="1">
    <w:name w:val="ListLabel 62"/>
    <w:qFormat/>
    <w:rsid w:val="004468fd"/>
    <w:rPr>
      <w:rFonts w:cs="Courier New"/>
    </w:rPr>
  </w:style>
  <w:style w:type="character" w:styleId="ListLabel63" w:customStyle="1">
    <w:name w:val="ListLabel 63"/>
    <w:qFormat/>
    <w:rsid w:val="004468fd"/>
    <w:rPr>
      <w:rFonts w:cs="Wingdings"/>
    </w:rPr>
  </w:style>
  <w:style w:type="character" w:styleId="ListLabel64" w:customStyle="1">
    <w:name w:val="ListLabel 64"/>
    <w:qFormat/>
    <w:rsid w:val="004468fd"/>
    <w:rPr>
      <w:rFonts w:cs="Symbol"/>
    </w:rPr>
  </w:style>
  <w:style w:type="character" w:styleId="ListLabel65" w:customStyle="1">
    <w:name w:val="ListLabel 65"/>
    <w:qFormat/>
    <w:rsid w:val="004468fd"/>
    <w:rPr>
      <w:rFonts w:cs="Courier New"/>
    </w:rPr>
  </w:style>
  <w:style w:type="character" w:styleId="ListLabel66" w:customStyle="1">
    <w:name w:val="ListLabel 66"/>
    <w:qFormat/>
    <w:rsid w:val="004468fd"/>
    <w:rPr>
      <w:rFonts w:cs="Wingdings"/>
    </w:rPr>
  </w:style>
  <w:style w:type="character" w:styleId="ListLabel67" w:customStyle="1">
    <w:name w:val="ListLabel 67"/>
    <w:qFormat/>
    <w:rsid w:val="004468fd"/>
    <w:rPr>
      <w:rFonts w:cs="Symbol"/>
    </w:rPr>
  </w:style>
  <w:style w:type="character" w:styleId="ListLabel68" w:customStyle="1">
    <w:name w:val="ListLabel 68"/>
    <w:qFormat/>
    <w:rsid w:val="004468fd"/>
    <w:rPr>
      <w:rFonts w:cs="Courier New"/>
    </w:rPr>
  </w:style>
  <w:style w:type="character" w:styleId="ListLabel69" w:customStyle="1">
    <w:name w:val="ListLabel 69"/>
    <w:qFormat/>
    <w:rsid w:val="004468fd"/>
    <w:rPr>
      <w:rFonts w:cs="Wingdings"/>
    </w:rPr>
  </w:style>
  <w:style w:type="character" w:styleId="ListLabel70" w:customStyle="1">
    <w:name w:val="ListLabel 70"/>
    <w:qFormat/>
    <w:rsid w:val="004468fd"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styleId="ListLabel71">
    <w:name w:val="ListLabel 71"/>
    <w:qFormat/>
    <w:rPr>
      <w:rFonts w:cs="Segoe UI"/>
      <w:sz w:val="22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eastAsia="Lucida Sans Unicode" w:cs="Times New Roman"/>
      <w:sz w:val="22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Times New Roman"/>
      <w:sz w:val="22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Times New Roman"/>
      <w:sz w:val="22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Times New Roman"/>
      <w:sz w:val="22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Times New Roman"/>
      <w:sz w:val="22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Times New Roman"/>
      <w:sz w:val="22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Times New Roman"/>
      <w:sz w:val="22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Times New Roman"/>
      <w:sz w:val="22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Times New Roman"/>
      <w:sz w:val="22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cs="Symbol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Wingdings"/>
    </w:rPr>
  </w:style>
  <w:style w:type="character" w:styleId="ListLabel156">
    <w:name w:val="ListLabel 156"/>
    <w:qFormat/>
    <w:rPr>
      <w:rFonts w:cs="Times New Roman"/>
      <w:sz w:val="22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Wingdings"/>
    </w:rPr>
  </w:style>
  <w:style w:type="character" w:styleId="ListLabel159">
    <w:name w:val="ListLabel 159"/>
    <w:qFormat/>
    <w:rPr>
      <w:rFonts w:cs="Symbol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cs="Symbol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Times New Roman"/>
      <w:sz w:val="22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cs="Symbol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cs="Times New Roman"/>
      <w:sz w:val="22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rFonts w:cs="Symbol"/>
    </w:rPr>
  </w:style>
  <w:style w:type="character" w:styleId="ListLabel178">
    <w:name w:val="ListLabel 178"/>
    <w:qFormat/>
    <w:rPr>
      <w:rFonts w:cs="Courier New"/>
    </w:rPr>
  </w:style>
  <w:style w:type="character" w:styleId="ListLabel179">
    <w:name w:val="ListLabel 179"/>
    <w:qFormat/>
    <w:rPr>
      <w:rFonts w:cs="Wingdings"/>
    </w:rPr>
  </w:style>
  <w:style w:type="character" w:styleId="ListLabel180">
    <w:name w:val="ListLabel 180"/>
    <w:qFormat/>
    <w:rPr>
      <w:rFonts w:cs="Symbol"/>
    </w:rPr>
  </w:style>
  <w:style w:type="character" w:styleId="ListLabel181">
    <w:name w:val="ListLabel 181"/>
    <w:qFormat/>
    <w:rPr>
      <w:rFonts w:cs="Courier New"/>
    </w:rPr>
  </w:style>
  <w:style w:type="character" w:styleId="ListLabel182">
    <w:name w:val="ListLabel 182"/>
    <w:qFormat/>
    <w:rPr>
      <w:rFonts w:cs="Wingdings"/>
    </w:rPr>
  </w:style>
  <w:style w:type="character" w:styleId="ListLabel183">
    <w:name w:val="ListLabel 183"/>
    <w:qFormat/>
    <w:rPr>
      <w:rFonts w:cs="Times New Roman"/>
      <w:sz w:val="22"/>
    </w:rPr>
  </w:style>
  <w:style w:type="character" w:styleId="ListLabel184">
    <w:name w:val="ListLabel 184"/>
    <w:qFormat/>
    <w:rPr>
      <w:rFonts w:cs="Courier New"/>
    </w:rPr>
  </w:style>
  <w:style w:type="character" w:styleId="ListLabel185">
    <w:name w:val="ListLabel 185"/>
    <w:qFormat/>
    <w:rPr>
      <w:rFonts w:cs="Wingdings"/>
    </w:rPr>
  </w:style>
  <w:style w:type="character" w:styleId="ListLabel186">
    <w:name w:val="ListLabel 186"/>
    <w:qFormat/>
    <w:rPr>
      <w:rFonts w:cs="Symbol"/>
    </w:rPr>
  </w:style>
  <w:style w:type="character" w:styleId="ListLabel187">
    <w:name w:val="ListLabel 187"/>
    <w:qFormat/>
    <w:rPr>
      <w:rFonts w:cs="Courier New"/>
    </w:rPr>
  </w:style>
  <w:style w:type="character" w:styleId="ListLabel188">
    <w:name w:val="ListLabel 188"/>
    <w:qFormat/>
    <w:rPr>
      <w:rFonts w:cs="Wingdings"/>
    </w:rPr>
  </w:style>
  <w:style w:type="character" w:styleId="ListLabel189">
    <w:name w:val="ListLabel 189"/>
    <w:qFormat/>
    <w:rPr>
      <w:rFonts w:cs="Symbol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cs="Times New Roman"/>
      <w:sz w:val="22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cs="Symbol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Times New Roman"/>
      <w:sz w:val="22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cs="Symbol"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cs="Wingdings"/>
    </w:rPr>
  </w:style>
  <w:style w:type="character" w:styleId="ListLabel207">
    <w:name w:val="ListLabel 207"/>
    <w:qFormat/>
    <w:rPr>
      <w:rFonts w:cs="Symbol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Wingdings"/>
    </w:rPr>
  </w:style>
  <w:style w:type="character" w:styleId="ListLabel210">
    <w:name w:val="ListLabel 210"/>
    <w:qFormat/>
    <w:rPr>
      <w:rFonts w:cs="Times New Roman"/>
      <w:sz w:val="22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rFonts w:cs="Wingdings"/>
    </w:rPr>
  </w:style>
  <w:style w:type="character" w:styleId="ListLabel213">
    <w:name w:val="ListLabel 213"/>
    <w:qFormat/>
    <w:rPr>
      <w:rFonts w:cs="Symbol"/>
    </w:rPr>
  </w:style>
  <w:style w:type="character" w:styleId="ListLabel214">
    <w:name w:val="ListLabel 214"/>
    <w:qFormat/>
    <w:rPr>
      <w:rFonts w:cs="Courier New"/>
    </w:rPr>
  </w:style>
  <w:style w:type="character" w:styleId="ListLabel215">
    <w:name w:val="ListLabel 215"/>
    <w:qFormat/>
    <w:rPr>
      <w:rFonts w:cs="Wingdings"/>
    </w:rPr>
  </w:style>
  <w:style w:type="character" w:styleId="ListLabel216">
    <w:name w:val="ListLabel 216"/>
    <w:qFormat/>
    <w:rPr>
      <w:rFonts w:cs="Symbol"/>
    </w:rPr>
  </w:style>
  <w:style w:type="character" w:styleId="ListLabel217">
    <w:name w:val="ListLabel 217"/>
    <w:qFormat/>
    <w:rPr>
      <w:rFonts w:cs="Courier New"/>
    </w:rPr>
  </w:style>
  <w:style w:type="character" w:styleId="ListLabel218">
    <w:name w:val="ListLabel 218"/>
    <w:qFormat/>
    <w:rPr>
      <w:rFonts w:cs="Wingdings"/>
    </w:rPr>
  </w:style>
  <w:style w:type="character" w:styleId="ListLabel219">
    <w:name w:val="ListLabel 219"/>
    <w:qFormat/>
    <w:rPr>
      <w:rFonts w:cs="Times New Roman"/>
      <w:sz w:val="22"/>
    </w:rPr>
  </w:style>
  <w:style w:type="character" w:styleId="ListLabel220">
    <w:name w:val="ListLabel 220"/>
    <w:qFormat/>
    <w:rPr>
      <w:rFonts w:cs="Courier New"/>
    </w:rPr>
  </w:style>
  <w:style w:type="character" w:styleId="ListLabel221">
    <w:name w:val="ListLabel 221"/>
    <w:qFormat/>
    <w:rPr>
      <w:rFonts w:cs="Wingdings"/>
    </w:rPr>
  </w:style>
  <w:style w:type="character" w:styleId="ListLabel222">
    <w:name w:val="ListLabel 222"/>
    <w:qFormat/>
    <w:rPr>
      <w:rFonts w:cs="Symbol"/>
    </w:rPr>
  </w:style>
  <w:style w:type="character" w:styleId="ListLabel223">
    <w:name w:val="ListLabel 223"/>
    <w:qFormat/>
    <w:rPr>
      <w:rFonts w:cs="Courier New"/>
    </w:rPr>
  </w:style>
  <w:style w:type="character" w:styleId="ListLabel224">
    <w:name w:val="ListLabel 224"/>
    <w:qFormat/>
    <w:rPr>
      <w:rFonts w:cs="Wingdings"/>
    </w:rPr>
  </w:style>
  <w:style w:type="character" w:styleId="ListLabel225">
    <w:name w:val="ListLabel 225"/>
    <w:qFormat/>
    <w:rPr>
      <w:rFonts w:cs="Symbol"/>
    </w:rPr>
  </w:style>
  <w:style w:type="character" w:styleId="ListLabel226">
    <w:name w:val="ListLabel 226"/>
    <w:qFormat/>
    <w:rPr>
      <w:rFonts w:cs="Courier New"/>
    </w:rPr>
  </w:style>
  <w:style w:type="character" w:styleId="ListLabel227">
    <w:name w:val="ListLabel 227"/>
    <w:qFormat/>
    <w:rPr>
      <w:rFonts w:cs="Wingdings"/>
    </w:rPr>
  </w:style>
  <w:style w:type="character" w:styleId="ListLabel228">
    <w:name w:val="ListLabel 228"/>
    <w:qFormat/>
    <w:rPr>
      <w:rFonts w:cs="Times New Roman"/>
      <w:sz w:val="22"/>
    </w:rPr>
  </w:style>
  <w:style w:type="character" w:styleId="ListLabel229">
    <w:name w:val="ListLabel 229"/>
    <w:qFormat/>
    <w:rPr>
      <w:rFonts w:cs="Courier New"/>
    </w:rPr>
  </w:style>
  <w:style w:type="character" w:styleId="ListLabel230">
    <w:name w:val="ListLabel 230"/>
    <w:qFormat/>
    <w:rPr>
      <w:rFonts w:cs="Wingdings"/>
    </w:rPr>
  </w:style>
  <w:style w:type="character" w:styleId="ListLabel231">
    <w:name w:val="ListLabel 231"/>
    <w:qFormat/>
    <w:rPr>
      <w:rFonts w:cs="Symbol"/>
    </w:rPr>
  </w:style>
  <w:style w:type="character" w:styleId="ListLabel232">
    <w:name w:val="ListLabel 232"/>
    <w:qFormat/>
    <w:rPr>
      <w:rFonts w:cs="Courier New"/>
    </w:rPr>
  </w:style>
  <w:style w:type="character" w:styleId="ListLabel233">
    <w:name w:val="ListLabel 233"/>
    <w:qFormat/>
    <w:rPr>
      <w:rFonts w:cs="Wingdings"/>
    </w:rPr>
  </w:style>
  <w:style w:type="character" w:styleId="ListLabel234">
    <w:name w:val="ListLabel 234"/>
    <w:qFormat/>
    <w:rPr>
      <w:rFonts w:cs="Symbol"/>
    </w:rPr>
  </w:style>
  <w:style w:type="character" w:styleId="ListLabel235">
    <w:name w:val="ListLabel 235"/>
    <w:qFormat/>
    <w:rPr>
      <w:rFonts w:cs="Courier New"/>
    </w:rPr>
  </w:style>
  <w:style w:type="character" w:styleId="ListLabel236">
    <w:name w:val="ListLabel 236"/>
    <w:qFormat/>
    <w:rPr>
      <w:rFonts w:cs="Wingdings"/>
    </w:rPr>
  </w:style>
  <w:style w:type="paragraph" w:styleId="Stilnaslova" w:customStyle="1">
    <w:name w:val="Stil naslova"/>
    <w:basedOn w:val="Normal"/>
    <w:next w:val="Tijeloteksta"/>
    <w:qFormat/>
    <w:rsid w:val="004468fd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rsid w:val="004468fd"/>
    <w:pPr>
      <w:spacing w:lineRule="auto" w:line="276" w:before="0" w:after="140"/>
    </w:pPr>
    <w:rPr/>
  </w:style>
  <w:style w:type="paragraph" w:styleId="Popis">
    <w:name w:val="List"/>
    <w:basedOn w:val="Tijeloteksta"/>
    <w:rsid w:val="004468fd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4468fd"/>
    <w:pPr>
      <w:suppressLineNumbers/>
    </w:pPr>
    <w:rPr>
      <w:rFonts w:cs="Arial"/>
    </w:rPr>
  </w:style>
  <w:style w:type="paragraph" w:styleId="Caption">
    <w:name w:val="caption"/>
    <w:basedOn w:val="Normal"/>
    <w:qFormat/>
    <w:rsid w:val="004468fd"/>
    <w:pPr>
      <w:suppressLineNumbers/>
      <w:spacing w:before="120" w:after="120"/>
    </w:pPr>
    <w:rPr>
      <w:rFonts w:cs="Arial"/>
      <w:i/>
      <w:iCs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8e6909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8e6909"/>
    <w:pPr>
      <w:widowControl/>
      <w:suppressAutoHyphens w:val="true"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hr-HR" w:eastAsia="en-US" w:bidi="ar-SA"/>
    </w:rPr>
  </w:style>
  <w:style w:type="paragraph" w:styleId="Sadrajitablice" w:customStyle="1">
    <w:name w:val="Sadržaji tablice"/>
    <w:basedOn w:val="Normal"/>
    <w:qFormat/>
    <w:rsid w:val="004468fd"/>
    <w:pPr>
      <w:suppressLineNumbers/>
    </w:pPr>
    <w:rPr/>
  </w:style>
  <w:style w:type="paragraph" w:styleId="Naslovtablice" w:customStyle="1">
    <w:name w:val="Naslov tablice"/>
    <w:basedOn w:val="Sadrajitablice"/>
    <w:qFormat/>
    <w:rsid w:val="004468fd"/>
    <w:pPr>
      <w:jc w:val="center"/>
    </w:pPr>
    <w:rPr>
      <w:b/>
      <w:bCs/>
    </w:rPr>
  </w:style>
  <w:style w:type="paragraph" w:styleId="NoSpacing">
    <w:name w:val="No Spacing"/>
    <w:uiPriority w:val="1"/>
    <w:qFormat/>
    <w:rsid w:val="004468fd"/>
    <w:pPr>
      <w:widowControl/>
      <w:suppressAutoHyphens w:val="true"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ListParagraph">
    <w:name w:val="List Paragraph"/>
    <w:basedOn w:val="Normal"/>
    <w:uiPriority w:val="34"/>
    <w:qFormat/>
    <w:rsid w:val="00365e3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8d5f25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Application>LibreOffice/6.2.4.2$Windows_X86_64 LibreOffice_project/2412653d852ce75f65fbfa83fb7e7b669a126d64</Application>
  <Pages>5</Pages>
  <Words>1598</Words>
  <Characters>9854</Characters>
  <CharactersWithSpaces>11193</CharactersWithSpaces>
  <Paragraphs>436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2023-05-08T05:38:00Z</dcterms:created>
  <dc:creator>URED-PC</dc:creator>
  <dc:description/>
  <dc:language>hr-HR</dc:language>
  <cp:lastModifiedBy/>
  <cp:lastPrinted>2024-04-10T10:09:04Z</cp:lastPrinted>
  <dcterms:modified xsi:type="dcterms:W3CDTF">2024-04-22T08:35:50Z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